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CF" w:rsidRPr="00616D9C" w:rsidRDefault="00412ACF" w:rsidP="00412ACF">
      <w:pPr>
        <w:spacing w:line="480" w:lineRule="exact"/>
        <w:ind w:left="395" w:hangingChars="101" w:hanging="395"/>
        <w:jc w:val="center"/>
        <w:rPr>
          <w:b/>
          <w:sz w:val="36"/>
          <w:szCs w:val="36"/>
        </w:rPr>
      </w:pPr>
      <w:r w:rsidRPr="004D0201">
        <w:rPr>
          <w:rFonts w:ascii="新細明體" w:eastAsia="新細明體" w:hAnsi="新細明體" w:cs="新細明體"/>
          <w:b/>
          <w:bCs/>
          <w:noProof/>
          <w:color w:val="3F3F41"/>
          <w:kern w:val="36"/>
          <w:sz w:val="39"/>
          <w:szCs w:val="39"/>
        </w:rPr>
        <mc:AlternateContent>
          <mc:Choice Requires="wps">
            <w:drawing>
              <wp:anchor distT="45720" distB="45720" distL="114300" distR="114300" simplePos="0" relativeHeight="251691008" behindDoc="0" locked="0" layoutInCell="1" allowOverlap="1" wp14:anchorId="1A5D3C70" wp14:editId="05E4567A">
                <wp:simplePos x="0" y="0"/>
                <wp:positionH relativeFrom="rightMargin">
                  <wp:posOffset>230505</wp:posOffset>
                </wp:positionH>
                <wp:positionV relativeFrom="paragraph">
                  <wp:posOffset>26035</wp:posOffset>
                </wp:positionV>
                <wp:extent cx="333375" cy="1404620"/>
                <wp:effectExtent l="0" t="0" r="28575"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12ACF" w:rsidRPr="004D0201" w:rsidRDefault="00412ACF" w:rsidP="00412ACF">
                            <w:pPr>
                              <w:rPr>
                                <w:sz w:val="30"/>
                                <w:szCs w:val="30"/>
                              </w:rPr>
                            </w:pPr>
                            <w:r w:rsidRPr="004D0201">
                              <w:rPr>
                                <w:rFonts w:hint="eastAsia"/>
                                <w:sz w:val="30"/>
                                <w:szCs w:val="30"/>
                              </w:rPr>
                              <w:t>附</w:t>
                            </w:r>
                          </w:p>
                          <w:p w:rsidR="00412ACF" w:rsidRPr="004D0201" w:rsidRDefault="00412ACF" w:rsidP="00412ACF">
                            <w:pPr>
                              <w:rPr>
                                <w:sz w:val="30"/>
                                <w:szCs w:val="30"/>
                              </w:rPr>
                            </w:pPr>
                            <w:r w:rsidRPr="004D0201">
                              <w:rPr>
                                <w:rFonts w:hint="eastAsia"/>
                                <w:sz w:val="30"/>
                                <w:szCs w:val="30"/>
                              </w:rPr>
                              <w:t>件</w:t>
                            </w:r>
                          </w:p>
                          <w:p w:rsidR="00412ACF" w:rsidRPr="004D0201" w:rsidRDefault="00412ACF" w:rsidP="00412ACF">
                            <w:pPr>
                              <w:rPr>
                                <w:sz w:val="30"/>
                                <w:szCs w:val="30"/>
                              </w:rPr>
                            </w:pPr>
                            <w:r w:rsidRPr="004D0201">
                              <w:rPr>
                                <w:rFonts w:hint="eastAsia"/>
                                <w:sz w:val="30"/>
                                <w:szCs w:val="30"/>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D3C70" id="_x0000_t202" coordsize="21600,21600" o:spt="202" path="m,l,21600r21600,l21600,xe">
                <v:stroke joinstyle="miter"/>
                <v:path gradientshapeok="t" o:connecttype="rect"/>
              </v:shapetype>
              <v:shape id="文字方塊 2" o:spid="_x0000_s1026" type="#_x0000_t202" style="position:absolute;left:0;text-align:left;margin-left:18.15pt;margin-top:2.05pt;width:26.25pt;height:110.6pt;z-index:25169100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">
                <v:textbox style="mso-fit-shape-to-text:t">
                  <w:txbxContent>
                    <w:p w:rsidR="00412ACF" w:rsidRPr="004D0201" w:rsidRDefault="00412ACF" w:rsidP="00412ACF">
                      <w:pPr>
                        <w:rPr>
                          <w:sz w:val="30"/>
                          <w:szCs w:val="30"/>
                        </w:rPr>
                      </w:pPr>
                      <w:r w:rsidRPr="004D0201">
                        <w:rPr>
                          <w:rFonts w:hint="eastAsia"/>
                          <w:sz w:val="30"/>
                          <w:szCs w:val="30"/>
                        </w:rPr>
                        <w:t>附</w:t>
                      </w:r>
                    </w:p>
                    <w:p w:rsidR="00412ACF" w:rsidRPr="004D0201" w:rsidRDefault="00412ACF" w:rsidP="00412ACF">
                      <w:pPr>
                        <w:rPr>
                          <w:sz w:val="30"/>
                          <w:szCs w:val="30"/>
                        </w:rPr>
                      </w:pPr>
                      <w:r w:rsidRPr="004D0201">
                        <w:rPr>
                          <w:rFonts w:hint="eastAsia"/>
                          <w:sz w:val="30"/>
                          <w:szCs w:val="30"/>
                        </w:rPr>
                        <w:t>件</w:t>
                      </w:r>
                    </w:p>
                    <w:p w:rsidR="00412ACF" w:rsidRPr="004D0201" w:rsidRDefault="00412ACF" w:rsidP="00412ACF">
                      <w:pPr>
                        <w:rPr>
                          <w:sz w:val="30"/>
                          <w:szCs w:val="30"/>
                        </w:rPr>
                      </w:pPr>
                      <w:r w:rsidRPr="004D0201">
                        <w:rPr>
                          <w:rFonts w:hint="eastAsia"/>
                          <w:sz w:val="30"/>
                          <w:szCs w:val="30"/>
                        </w:rPr>
                        <w:t>一</w:t>
                      </w:r>
                    </w:p>
                  </w:txbxContent>
                </v:textbox>
                <w10:wrap type="square" anchorx="margin"/>
              </v:shape>
            </w:pict>
          </mc:Fallback>
        </mc:AlternateContent>
      </w:r>
      <w:r w:rsidRPr="00616D9C">
        <w:rPr>
          <w:b/>
          <w:sz w:val="36"/>
          <w:szCs w:val="36"/>
        </w:rPr>
        <w:t>哈佛大學校務基金概況</w:t>
      </w:r>
    </w:p>
    <w:p w:rsidR="00412ACF" w:rsidRPr="00616D9C" w:rsidRDefault="00412ACF" w:rsidP="00412ACF">
      <w:pPr>
        <w:spacing w:line="480" w:lineRule="exact"/>
        <w:rPr>
          <w:sz w:val="28"/>
          <w:szCs w:val="28"/>
        </w:rPr>
      </w:pPr>
    </w:p>
    <w:p w:rsidR="00412ACF" w:rsidRPr="00616D9C" w:rsidRDefault="00412ACF" w:rsidP="00412ACF">
      <w:pPr>
        <w:pStyle w:val="af3"/>
        <w:numPr>
          <w:ilvl w:val="0"/>
          <w:numId w:val="2"/>
        </w:numPr>
        <w:spacing w:line="480" w:lineRule="exact"/>
        <w:ind w:leftChars="0" w:left="0" w:firstLine="0"/>
        <w:rPr>
          <w:color w:val="000000" w:themeColor="text1"/>
          <w:sz w:val="28"/>
          <w:szCs w:val="28"/>
        </w:rPr>
      </w:pPr>
      <w:r w:rsidRPr="00616D9C">
        <w:rPr>
          <w:color w:val="000000" w:themeColor="text1"/>
          <w:sz w:val="28"/>
          <w:szCs w:val="28"/>
        </w:rPr>
        <w:t>此基金由哈佛管理公司</w:t>
      </w:r>
      <w:r w:rsidRPr="00616D9C">
        <w:rPr>
          <w:color w:val="000000" w:themeColor="text1"/>
          <w:sz w:val="28"/>
          <w:szCs w:val="28"/>
        </w:rPr>
        <w:t xml:space="preserve">(Harvard Management Company, HMC) </w:t>
      </w:r>
      <w:r w:rsidRPr="00616D9C">
        <w:rPr>
          <w:color w:val="000000" w:themeColor="text1"/>
          <w:sz w:val="28"/>
          <w:szCs w:val="28"/>
        </w:rPr>
        <w:t>進行操作。</w:t>
      </w:r>
    </w:p>
    <w:p w:rsidR="00412ACF" w:rsidRPr="00616D9C" w:rsidRDefault="00412ACF" w:rsidP="00412ACF">
      <w:pPr>
        <w:pStyle w:val="af3"/>
        <w:numPr>
          <w:ilvl w:val="0"/>
          <w:numId w:val="2"/>
        </w:numPr>
        <w:spacing w:line="480" w:lineRule="exact"/>
        <w:ind w:leftChars="0" w:left="0" w:firstLine="0"/>
        <w:rPr>
          <w:color w:val="000000" w:themeColor="text1"/>
          <w:sz w:val="28"/>
          <w:szCs w:val="28"/>
        </w:rPr>
      </w:pPr>
      <w:r w:rsidRPr="00616D9C">
        <w:rPr>
          <w:rFonts w:eastAsia="新細明體" w:cs="新細明體"/>
          <w:color w:val="000000" w:themeColor="text1"/>
          <w:sz w:val="28"/>
          <w:szCs w:val="28"/>
        </w:rPr>
        <w:t>該公司</w:t>
      </w:r>
      <w:r w:rsidRPr="00616D9C">
        <w:rPr>
          <w:color w:val="000000" w:themeColor="text1"/>
          <w:sz w:val="28"/>
          <w:szCs w:val="28"/>
        </w:rPr>
        <w:t>基金管理人數</w:t>
      </w:r>
      <w:r w:rsidRPr="00616D9C">
        <w:rPr>
          <w:color w:val="000000" w:themeColor="text1"/>
          <w:sz w:val="28"/>
          <w:szCs w:val="28"/>
        </w:rPr>
        <w:t>:2015</w:t>
      </w:r>
      <w:r w:rsidRPr="00616D9C">
        <w:rPr>
          <w:color w:val="000000" w:themeColor="text1"/>
          <w:sz w:val="28"/>
          <w:szCs w:val="28"/>
        </w:rPr>
        <w:t>年有</w:t>
      </w:r>
      <w:r w:rsidRPr="00616D9C">
        <w:rPr>
          <w:color w:val="000000" w:themeColor="text1"/>
          <w:sz w:val="28"/>
          <w:szCs w:val="28"/>
        </w:rPr>
        <w:t>265</w:t>
      </w:r>
      <w:r w:rsidRPr="00616D9C">
        <w:rPr>
          <w:color w:val="000000" w:themeColor="text1"/>
          <w:sz w:val="28"/>
          <w:szCs w:val="28"/>
        </w:rPr>
        <w:t>人，</w:t>
      </w:r>
      <w:r w:rsidRPr="00616D9C">
        <w:rPr>
          <w:color w:val="000000" w:themeColor="text1"/>
          <w:sz w:val="28"/>
          <w:szCs w:val="28"/>
        </w:rPr>
        <w:t>2016</w:t>
      </w:r>
      <w:r w:rsidRPr="00616D9C">
        <w:rPr>
          <w:color w:val="000000" w:themeColor="text1"/>
          <w:sz w:val="28"/>
          <w:szCs w:val="28"/>
        </w:rPr>
        <w:t>年減至約</w:t>
      </w:r>
      <w:r w:rsidRPr="00616D9C">
        <w:rPr>
          <w:color w:val="000000" w:themeColor="text1"/>
          <w:sz w:val="28"/>
          <w:szCs w:val="28"/>
        </w:rPr>
        <w:t>200</w:t>
      </w:r>
      <w:r w:rsidRPr="00616D9C">
        <w:rPr>
          <w:color w:val="000000" w:themeColor="text1"/>
          <w:sz w:val="28"/>
          <w:szCs w:val="28"/>
        </w:rPr>
        <w:t>人。</w:t>
      </w:r>
    </w:p>
    <w:p w:rsidR="00412ACF" w:rsidRPr="00616D9C" w:rsidRDefault="00412ACF" w:rsidP="00412ACF">
      <w:pPr>
        <w:pStyle w:val="af3"/>
        <w:numPr>
          <w:ilvl w:val="0"/>
          <w:numId w:val="2"/>
        </w:numPr>
        <w:spacing w:line="480" w:lineRule="exact"/>
        <w:ind w:leftChars="0" w:left="0" w:firstLine="0"/>
        <w:rPr>
          <w:rStyle w:val="af2"/>
          <w:color w:val="000000" w:themeColor="text1"/>
          <w:sz w:val="28"/>
          <w:szCs w:val="28"/>
        </w:rPr>
      </w:pPr>
      <w:r w:rsidRPr="00616D9C">
        <w:rPr>
          <w:bCs/>
          <w:color w:val="000000" w:themeColor="text1"/>
          <w:sz w:val="28"/>
          <w:szCs w:val="28"/>
          <w:shd w:val="clear" w:color="auto" w:fill="FFFFFF"/>
        </w:rPr>
        <w:t>總裁兼執行長</w:t>
      </w:r>
      <w:r w:rsidRPr="00616D9C">
        <w:rPr>
          <w:bCs/>
          <w:color w:val="000000" w:themeColor="text1"/>
          <w:sz w:val="28"/>
          <w:szCs w:val="28"/>
          <w:shd w:val="clear" w:color="auto" w:fill="FFFFFF"/>
        </w:rPr>
        <w:t>Stephen Blyth 2014</w:t>
      </w:r>
      <w:r w:rsidRPr="00616D9C">
        <w:rPr>
          <w:bCs/>
          <w:color w:val="000000" w:themeColor="text1"/>
          <w:sz w:val="28"/>
          <w:szCs w:val="28"/>
          <w:shd w:val="clear" w:color="auto" w:fill="FFFFFF"/>
        </w:rPr>
        <w:t>年的年薪</w:t>
      </w:r>
      <w:r w:rsidRPr="00616D9C">
        <w:rPr>
          <w:bCs/>
          <w:color w:val="000000" w:themeColor="text1"/>
          <w:sz w:val="28"/>
          <w:szCs w:val="28"/>
          <w:shd w:val="clear" w:color="auto" w:fill="FFFFFF"/>
        </w:rPr>
        <w:t>830</w:t>
      </w:r>
      <w:r w:rsidRPr="00616D9C">
        <w:rPr>
          <w:bCs/>
          <w:color w:val="000000" w:themeColor="text1"/>
          <w:sz w:val="28"/>
          <w:szCs w:val="28"/>
          <w:shd w:val="clear" w:color="auto" w:fill="FFFFFF"/>
        </w:rPr>
        <w:t>萬美元</w:t>
      </w:r>
      <w:r w:rsidRPr="00616D9C">
        <w:rPr>
          <w:bCs/>
          <w:color w:val="000000" w:themeColor="text1"/>
          <w:sz w:val="28"/>
          <w:szCs w:val="28"/>
          <w:shd w:val="clear" w:color="auto" w:fill="FFFFFF"/>
        </w:rPr>
        <w:t>(</w:t>
      </w:r>
      <w:r w:rsidRPr="00616D9C">
        <w:rPr>
          <w:bCs/>
          <w:color w:val="000000" w:themeColor="text1"/>
          <w:sz w:val="28"/>
          <w:szCs w:val="28"/>
          <w:shd w:val="clear" w:color="auto" w:fill="FFFFFF"/>
        </w:rPr>
        <w:t>台幣二億六千五百六十萬</w:t>
      </w:r>
      <w:r w:rsidRPr="00616D9C">
        <w:rPr>
          <w:bCs/>
          <w:color w:val="000000" w:themeColor="text1"/>
          <w:sz w:val="28"/>
          <w:szCs w:val="28"/>
          <w:shd w:val="clear" w:color="auto" w:fill="FFFFFF"/>
        </w:rPr>
        <w:t>)</w:t>
      </w:r>
    </w:p>
    <w:p w:rsidR="00412ACF" w:rsidRPr="00616D9C" w:rsidRDefault="00412ACF" w:rsidP="00412ACF">
      <w:pPr>
        <w:pStyle w:val="af3"/>
        <w:widowControl/>
        <w:numPr>
          <w:ilvl w:val="0"/>
          <w:numId w:val="2"/>
        </w:numPr>
        <w:spacing w:line="480" w:lineRule="exact"/>
        <w:ind w:leftChars="0" w:left="0" w:firstLine="0"/>
        <w:rPr>
          <w:rFonts w:eastAsia="新細明體" w:cs="Times New Roman"/>
          <w:color w:val="000000" w:themeColor="text1"/>
          <w:kern w:val="0"/>
          <w:sz w:val="28"/>
          <w:szCs w:val="28"/>
        </w:rPr>
      </w:pPr>
      <w:r w:rsidRPr="00616D9C">
        <w:rPr>
          <w:rFonts w:eastAsia="新細明體" w:cs="Times New Roman"/>
          <w:color w:val="000000" w:themeColor="text1"/>
          <w:kern w:val="0"/>
          <w:sz w:val="28"/>
          <w:szCs w:val="28"/>
        </w:rPr>
        <w:t>2012</w:t>
      </w:r>
      <w:r w:rsidRPr="00616D9C">
        <w:rPr>
          <w:rFonts w:eastAsia="新細明體" w:cs="Times New Roman"/>
          <w:color w:val="000000" w:themeColor="text1"/>
          <w:kern w:val="0"/>
          <w:sz w:val="28"/>
          <w:szCs w:val="28"/>
        </w:rPr>
        <w:t>年哈佛大學總共付給這些高階經理人</w:t>
      </w:r>
      <w:r w:rsidRPr="00616D9C">
        <w:rPr>
          <w:rFonts w:eastAsia="新細明體" w:cs="Times New Roman"/>
          <w:color w:val="000000" w:themeColor="text1"/>
          <w:kern w:val="0"/>
          <w:sz w:val="28"/>
          <w:szCs w:val="28"/>
        </w:rPr>
        <w:t>3280</w:t>
      </w:r>
      <w:r w:rsidRPr="00616D9C">
        <w:rPr>
          <w:rFonts w:eastAsia="新細明體" w:cs="Times New Roman"/>
          <w:color w:val="000000" w:themeColor="text1"/>
          <w:kern w:val="0"/>
          <w:sz w:val="28"/>
          <w:szCs w:val="28"/>
        </w:rPr>
        <w:t>萬美元的薪酬。</w:t>
      </w:r>
    </w:p>
    <w:p w:rsidR="00412ACF" w:rsidRPr="00616D9C" w:rsidRDefault="00412ACF" w:rsidP="00412ACF">
      <w:pPr>
        <w:pStyle w:val="af3"/>
        <w:widowControl/>
        <w:numPr>
          <w:ilvl w:val="0"/>
          <w:numId w:val="2"/>
        </w:numPr>
        <w:spacing w:line="480" w:lineRule="exact"/>
        <w:ind w:leftChars="0" w:left="0" w:firstLine="0"/>
        <w:rPr>
          <w:rFonts w:eastAsia="新細明體" w:cs="Times New Roman"/>
          <w:color w:val="000000" w:themeColor="text1"/>
          <w:kern w:val="0"/>
          <w:sz w:val="28"/>
          <w:szCs w:val="28"/>
        </w:rPr>
      </w:pPr>
      <w:r w:rsidRPr="00616D9C">
        <w:rPr>
          <w:rFonts w:eastAsia="新細明體" w:cs="Times New Roman"/>
          <w:color w:val="000000" w:themeColor="text1"/>
          <w:kern w:val="0"/>
          <w:sz w:val="28"/>
          <w:szCs w:val="28"/>
          <w:u w:val="single"/>
        </w:rPr>
        <w:t>薪酬最高</w:t>
      </w:r>
      <w:r w:rsidRPr="00616D9C">
        <w:rPr>
          <w:rFonts w:eastAsia="新細明體" w:cs="Times New Roman"/>
          <w:color w:val="000000" w:themeColor="text1"/>
          <w:kern w:val="0"/>
          <w:sz w:val="28"/>
          <w:szCs w:val="28"/>
        </w:rPr>
        <w:t>的經理人</w:t>
      </w:r>
      <w:r w:rsidRPr="00616D9C">
        <w:rPr>
          <w:rFonts w:eastAsia="新細明體" w:cs="Times New Roman"/>
          <w:color w:val="000000" w:themeColor="text1"/>
          <w:kern w:val="0"/>
          <w:sz w:val="28"/>
          <w:szCs w:val="28"/>
          <w:u w:val="single"/>
        </w:rPr>
        <w:t>2011-</w:t>
      </w:r>
      <w:proofErr w:type="gramStart"/>
      <w:r w:rsidRPr="00616D9C">
        <w:rPr>
          <w:rFonts w:eastAsia="新細明體" w:cs="Times New Roman"/>
          <w:color w:val="000000" w:themeColor="text1"/>
          <w:kern w:val="0"/>
          <w:sz w:val="28"/>
          <w:szCs w:val="28"/>
          <w:u w:val="single"/>
        </w:rPr>
        <w:t>2013</w:t>
      </w:r>
      <w:r w:rsidRPr="00616D9C">
        <w:rPr>
          <w:rFonts w:eastAsia="新細明體" w:cs="Times New Roman"/>
          <w:color w:val="000000" w:themeColor="text1"/>
          <w:kern w:val="0"/>
          <w:sz w:val="28"/>
          <w:szCs w:val="28"/>
          <w:u w:val="single"/>
        </w:rPr>
        <w:t>年之薪酬</w:t>
      </w:r>
      <w:proofErr w:type="gramEnd"/>
    </w:p>
    <w:p w:rsidR="00412ACF" w:rsidRPr="00616D9C" w:rsidRDefault="00412ACF" w:rsidP="00412ACF">
      <w:pPr>
        <w:pStyle w:val="af3"/>
        <w:widowControl/>
        <w:wordWrap w:val="0"/>
        <w:spacing w:line="480" w:lineRule="exact"/>
        <w:ind w:leftChars="0" w:firstLine="190"/>
        <w:jc w:val="right"/>
        <w:rPr>
          <w:rFonts w:eastAsia="新細明體" w:cs="Times New Roman"/>
          <w:color w:val="000000" w:themeColor="text1"/>
          <w:kern w:val="0"/>
          <w:sz w:val="28"/>
          <w:szCs w:val="28"/>
        </w:rPr>
      </w:pPr>
      <w:r w:rsidRPr="00616D9C">
        <w:rPr>
          <w:szCs w:val="24"/>
        </w:rPr>
        <w:t>單位</w:t>
      </w:r>
      <w:r w:rsidRPr="00616D9C">
        <w:rPr>
          <w:szCs w:val="24"/>
        </w:rPr>
        <w:t>:</w:t>
      </w:r>
      <w:r w:rsidRPr="00616D9C">
        <w:rPr>
          <w:rFonts w:eastAsia="新細明體" w:cs="Times New Roman"/>
          <w:color w:val="000000"/>
          <w:kern w:val="0"/>
          <w:szCs w:val="24"/>
        </w:rPr>
        <w:t>萬美元</w:t>
      </w:r>
      <w:r w:rsidRPr="00616D9C">
        <w:rPr>
          <w:rFonts w:eastAsia="新細明體" w:cs="Times New Roman"/>
          <w:color w:val="000000"/>
          <w:kern w:val="0"/>
          <w:szCs w:val="24"/>
        </w:rPr>
        <w:t xml:space="preserve"> </w:t>
      </w:r>
    </w:p>
    <w:tbl>
      <w:tblPr>
        <w:tblStyle w:val="af1"/>
        <w:tblW w:w="9493" w:type="dxa"/>
        <w:jc w:val="center"/>
        <w:tblLook w:val="04A0" w:firstRow="1" w:lastRow="0" w:firstColumn="1" w:lastColumn="0" w:noHBand="0" w:noVBand="1"/>
      </w:tblPr>
      <w:tblGrid>
        <w:gridCol w:w="1980"/>
        <w:gridCol w:w="1705"/>
        <w:gridCol w:w="1842"/>
        <w:gridCol w:w="1843"/>
        <w:gridCol w:w="2123"/>
      </w:tblGrid>
      <w:tr w:rsidR="00412ACF" w:rsidRPr="00616D9C" w:rsidTr="00026629">
        <w:trPr>
          <w:trHeight w:hRule="exact" w:val="653"/>
          <w:jc w:val="center"/>
        </w:trPr>
        <w:tc>
          <w:tcPr>
            <w:tcW w:w="1980" w:type="dxa"/>
            <w:tcBorders>
              <w:top w:val="single" w:sz="18" w:space="0" w:color="000000"/>
              <w:left w:val="single" w:sz="18" w:space="0" w:color="000000"/>
              <w:bottom w:val="double" w:sz="4" w:space="0" w:color="000000"/>
            </w:tcBorders>
            <w:vAlign w:val="center"/>
          </w:tcPr>
          <w:p w:rsidR="00412ACF" w:rsidRPr="00616D9C" w:rsidRDefault="00412ACF" w:rsidP="00026629">
            <w:pPr>
              <w:spacing w:line="480" w:lineRule="exact"/>
              <w:jc w:val="center"/>
              <w:rPr>
                <w:sz w:val="28"/>
                <w:szCs w:val="28"/>
              </w:rPr>
            </w:pPr>
            <w:r w:rsidRPr="00616D9C">
              <w:rPr>
                <w:sz w:val="28"/>
                <w:szCs w:val="28"/>
              </w:rPr>
              <w:t>姓名</w:t>
            </w:r>
          </w:p>
        </w:tc>
        <w:tc>
          <w:tcPr>
            <w:tcW w:w="1705" w:type="dxa"/>
            <w:tcBorders>
              <w:top w:val="single" w:sz="18" w:space="0" w:color="000000"/>
              <w:bottom w:val="double" w:sz="4" w:space="0" w:color="000000"/>
            </w:tcBorders>
            <w:vAlign w:val="center"/>
          </w:tcPr>
          <w:p w:rsidR="00412ACF" w:rsidRPr="00616D9C" w:rsidRDefault="00412ACF" w:rsidP="00026629">
            <w:pPr>
              <w:spacing w:line="480" w:lineRule="exact"/>
              <w:jc w:val="center"/>
              <w:rPr>
                <w:sz w:val="26"/>
                <w:szCs w:val="26"/>
              </w:rPr>
            </w:pPr>
            <w:r w:rsidRPr="00616D9C">
              <w:rPr>
                <w:sz w:val="26"/>
                <w:szCs w:val="26"/>
              </w:rPr>
              <w:t>職稱</w:t>
            </w:r>
          </w:p>
        </w:tc>
        <w:tc>
          <w:tcPr>
            <w:tcW w:w="1842" w:type="dxa"/>
            <w:tcBorders>
              <w:top w:val="single" w:sz="18" w:space="0" w:color="000000"/>
              <w:bottom w:val="double" w:sz="4" w:space="0" w:color="000000"/>
            </w:tcBorders>
            <w:vAlign w:val="center"/>
          </w:tcPr>
          <w:p w:rsidR="00412ACF" w:rsidRPr="00616D9C" w:rsidRDefault="00412ACF" w:rsidP="00026629">
            <w:pPr>
              <w:spacing w:line="480" w:lineRule="exact"/>
              <w:jc w:val="center"/>
              <w:rPr>
                <w:sz w:val="28"/>
                <w:szCs w:val="28"/>
              </w:rPr>
            </w:pPr>
            <w:r w:rsidRPr="00616D9C">
              <w:rPr>
                <w:sz w:val="28"/>
                <w:szCs w:val="28"/>
              </w:rPr>
              <w:t>2011</w:t>
            </w:r>
            <w:r w:rsidRPr="00616D9C">
              <w:rPr>
                <w:sz w:val="28"/>
                <w:szCs w:val="28"/>
              </w:rPr>
              <w:t>年薪酬</w:t>
            </w:r>
          </w:p>
        </w:tc>
        <w:tc>
          <w:tcPr>
            <w:tcW w:w="1843" w:type="dxa"/>
            <w:tcBorders>
              <w:top w:val="single" w:sz="18" w:space="0" w:color="000000"/>
              <w:bottom w:val="double" w:sz="4" w:space="0" w:color="000000"/>
            </w:tcBorders>
            <w:vAlign w:val="center"/>
          </w:tcPr>
          <w:p w:rsidR="00412ACF" w:rsidRPr="00616D9C" w:rsidRDefault="00412ACF" w:rsidP="00026629">
            <w:pPr>
              <w:spacing w:line="480" w:lineRule="exact"/>
              <w:jc w:val="center"/>
              <w:rPr>
                <w:sz w:val="28"/>
                <w:szCs w:val="28"/>
              </w:rPr>
            </w:pPr>
            <w:r w:rsidRPr="00616D9C">
              <w:rPr>
                <w:sz w:val="28"/>
                <w:szCs w:val="28"/>
              </w:rPr>
              <w:t>2012</w:t>
            </w:r>
            <w:r w:rsidRPr="00616D9C">
              <w:rPr>
                <w:sz w:val="28"/>
                <w:szCs w:val="28"/>
              </w:rPr>
              <w:t>年薪酬</w:t>
            </w:r>
          </w:p>
        </w:tc>
        <w:tc>
          <w:tcPr>
            <w:tcW w:w="2123" w:type="dxa"/>
            <w:tcBorders>
              <w:top w:val="single" w:sz="18" w:space="0" w:color="000000"/>
              <w:bottom w:val="double" w:sz="4" w:space="0" w:color="000000"/>
              <w:right w:val="single" w:sz="18" w:space="0" w:color="000000"/>
            </w:tcBorders>
            <w:vAlign w:val="center"/>
          </w:tcPr>
          <w:p w:rsidR="00412ACF" w:rsidRPr="00616D9C" w:rsidRDefault="00412ACF" w:rsidP="00026629">
            <w:pPr>
              <w:spacing w:line="480" w:lineRule="exact"/>
              <w:jc w:val="center"/>
              <w:rPr>
                <w:sz w:val="28"/>
                <w:szCs w:val="28"/>
              </w:rPr>
            </w:pPr>
            <w:r w:rsidRPr="00616D9C">
              <w:rPr>
                <w:sz w:val="28"/>
                <w:szCs w:val="28"/>
              </w:rPr>
              <w:t>2013</w:t>
            </w:r>
            <w:r w:rsidRPr="00616D9C">
              <w:rPr>
                <w:sz w:val="28"/>
                <w:szCs w:val="28"/>
              </w:rPr>
              <w:t>年薪</w:t>
            </w:r>
          </w:p>
        </w:tc>
      </w:tr>
      <w:tr w:rsidR="00412ACF" w:rsidRPr="00616D9C" w:rsidTr="00026629">
        <w:trPr>
          <w:jc w:val="center"/>
        </w:trPr>
        <w:tc>
          <w:tcPr>
            <w:tcW w:w="1980" w:type="dxa"/>
            <w:tcBorders>
              <w:top w:val="double" w:sz="4" w:space="0" w:color="000000"/>
              <w:left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 xml:space="preserve">Jane L. </w:t>
            </w:r>
            <w:proofErr w:type="spellStart"/>
            <w:r w:rsidRPr="00616D9C">
              <w:rPr>
                <w:rFonts w:eastAsia="新細明體" w:cs="Times New Roman"/>
                <w:color w:val="000000"/>
                <w:kern w:val="0"/>
                <w:sz w:val="28"/>
                <w:szCs w:val="28"/>
              </w:rPr>
              <w:t>Mendillo</w:t>
            </w:r>
            <w:proofErr w:type="spellEnd"/>
          </w:p>
        </w:tc>
        <w:tc>
          <w:tcPr>
            <w:tcW w:w="1705" w:type="dxa"/>
            <w:tcBorders>
              <w:top w:val="double" w:sz="4" w:space="0" w:color="000000"/>
            </w:tcBorders>
            <w:vAlign w:val="center"/>
          </w:tcPr>
          <w:p w:rsidR="00412ACF" w:rsidRPr="00616D9C" w:rsidRDefault="00412ACF" w:rsidP="00026629">
            <w:pPr>
              <w:spacing w:line="480" w:lineRule="exact"/>
              <w:jc w:val="center"/>
              <w:rPr>
                <w:sz w:val="26"/>
                <w:szCs w:val="26"/>
              </w:rPr>
            </w:pPr>
            <w:r w:rsidRPr="00616D9C">
              <w:rPr>
                <w:rFonts w:eastAsia="新細明體" w:cs="Times New Roman"/>
                <w:color w:val="000000"/>
                <w:kern w:val="0"/>
                <w:sz w:val="26"/>
                <w:szCs w:val="26"/>
              </w:rPr>
              <w:t>總裁兼</w:t>
            </w:r>
            <w:r w:rsidRPr="00616D9C">
              <w:rPr>
                <w:rFonts w:eastAsia="新細明體" w:cs="Times New Roman"/>
                <w:color w:val="000000"/>
                <w:kern w:val="0"/>
                <w:sz w:val="26"/>
                <w:szCs w:val="26"/>
              </w:rPr>
              <w:t xml:space="preserve"> CEO</w:t>
            </w:r>
          </w:p>
        </w:tc>
        <w:tc>
          <w:tcPr>
            <w:tcW w:w="1842" w:type="dxa"/>
            <w:tcBorders>
              <w:top w:val="double" w:sz="4" w:space="0" w:color="000000"/>
            </w:tcBorders>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530</w:t>
            </w:r>
          </w:p>
        </w:tc>
        <w:tc>
          <w:tcPr>
            <w:tcW w:w="1843" w:type="dxa"/>
            <w:tcBorders>
              <w:top w:val="double" w:sz="4" w:space="0" w:color="000000"/>
            </w:tcBorders>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480</w:t>
            </w:r>
          </w:p>
        </w:tc>
        <w:tc>
          <w:tcPr>
            <w:tcW w:w="2123" w:type="dxa"/>
            <w:tcBorders>
              <w:top w:val="double" w:sz="4" w:space="0" w:color="000000"/>
              <w:right w:val="single" w:sz="18" w:space="0" w:color="000000"/>
            </w:tcBorders>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960</w:t>
            </w:r>
          </w:p>
        </w:tc>
      </w:tr>
      <w:tr w:rsidR="00412ACF" w:rsidRPr="00616D9C" w:rsidTr="00026629">
        <w:trPr>
          <w:jc w:val="center"/>
        </w:trPr>
        <w:tc>
          <w:tcPr>
            <w:tcW w:w="1980" w:type="dxa"/>
            <w:tcBorders>
              <w:left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Stephen Blyth</w:t>
            </w:r>
          </w:p>
        </w:tc>
        <w:tc>
          <w:tcPr>
            <w:tcW w:w="1705" w:type="dxa"/>
            <w:vAlign w:val="center"/>
          </w:tcPr>
          <w:p w:rsidR="00412ACF" w:rsidRPr="00616D9C" w:rsidRDefault="00412ACF" w:rsidP="00026629">
            <w:pPr>
              <w:spacing w:line="480" w:lineRule="exact"/>
              <w:jc w:val="center"/>
              <w:rPr>
                <w:rFonts w:eastAsia="新細明體" w:cs="Times New Roman"/>
                <w:color w:val="000000"/>
                <w:kern w:val="0"/>
                <w:sz w:val="26"/>
                <w:szCs w:val="26"/>
              </w:rPr>
            </w:pPr>
            <w:r w:rsidRPr="00616D9C">
              <w:rPr>
                <w:rFonts w:eastAsia="新細明體" w:cs="Times New Roman"/>
                <w:color w:val="000000"/>
                <w:kern w:val="0"/>
                <w:sz w:val="26"/>
                <w:szCs w:val="26"/>
              </w:rPr>
              <w:t>公開市場部</w:t>
            </w:r>
          </w:p>
          <w:p w:rsidR="00412ACF" w:rsidRPr="00616D9C" w:rsidRDefault="00412ACF" w:rsidP="00026629">
            <w:pPr>
              <w:spacing w:line="480" w:lineRule="exact"/>
              <w:jc w:val="center"/>
              <w:rPr>
                <w:sz w:val="26"/>
                <w:szCs w:val="26"/>
              </w:rPr>
            </w:pPr>
            <w:r w:rsidRPr="00616D9C">
              <w:rPr>
                <w:rFonts w:eastAsia="新細明體" w:cs="Times New Roman"/>
                <w:color w:val="000000"/>
                <w:kern w:val="0"/>
                <w:sz w:val="26"/>
                <w:szCs w:val="26"/>
              </w:rPr>
              <w:t>負責人</w:t>
            </w:r>
          </w:p>
        </w:tc>
        <w:tc>
          <w:tcPr>
            <w:tcW w:w="1842" w:type="dxa"/>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620</w:t>
            </w:r>
          </w:p>
        </w:tc>
        <w:tc>
          <w:tcPr>
            <w:tcW w:w="1843" w:type="dxa"/>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530</w:t>
            </w:r>
          </w:p>
        </w:tc>
        <w:tc>
          <w:tcPr>
            <w:tcW w:w="2123" w:type="dxa"/>
            <w:tcBorders>
              <w:right w:val="single" w:sz="18" w:space="0" w:color="000000"/>
            </w:tcBorders>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1150</w:t>
            </w:r>
          </w:p>
        </w:tc>
      </w:tr>
      <w:tr w:rsidR="00412ACF" w:rsidRPr="00616D9C" w:rsidTr="00026629">
        <w:trPr>
          <w:jc w:val="center"/>
        </w:trPr>
        <w:tc>
          <w:tcPr>
            <w:tcW w:w="1980" w:type="dxa"/>
            <w:tcBorders>
              <w:left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Alvaro Aguirre-</w:t>
            </w:r>
            <w:proofErr w:type="spellStart"/>
            <w:r w:rsidRPr="00616D9C">
              <w:rPr>
                <w:rFonts w:eastAsia="新細明體" w:cs="Times New Roman"/>
                <w:color w:val="000000"/>
                <w:kern w:val="0"/>
                <w:sz w:val="28"/>
                <w:szCs w:val="28"/>
              </w:rPr>
              <w:t>Simunovic</w:t>
            </w:r>
            <w:proofErr w:type="spellEnd"/>
          </w:p>
        </w:tc>
        <w:tc>
          <w:tcPr>
            <w:tcW w:w="1705" w:type="dxa"/>
            <w:vAlign w:val="center"/>
          </w:tcPr>
          <w:p w:rsidR="00412ACF" w:rsidRPr="00616D9C" w:rsidRDefault="00412ACF" w:rsidP="00026629">
            <w:pPr>
              <w:spacing w:line="480" w:lineRule="exact"/>
              <w:jc w:val="center"/>
              <w:rPr>
                <w:sz w:val="26"/>
                <w:szCs w:val="26"/>
              </w:rPr>
            </w:pPr>
            <w:r w:rsidRPr="00616D9C">
              <w:rPr>
                <w:rFonts w:eastAsia="新細明體" w:cs="Times New Roman"/>
                <w:color w:val="000000"/>
                <w:kern w:val="0"/>
                <w:sz w:val="26"/>
                <w:szCs w:val="26"/>
              </w:rPr>
              <w:t>自然資源投資組合經理</w:t>
            </w:r>
          </w:p>
        </w:tc>
        <w:tc>
          <w:tcPr>
            <w:tcW w:w="1842" w:type="dxa"/>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530</w:t>
            </w:r>
          </w:p>
        </w:tc>
        <w:tc>
          <w:tcPr>
            <w:tcW w:w="1843" w:type="dxa"/>
            <w:vAlign w:val="center"/>
          </w:tcPr>
          <w:p w:rsidR="00412ACF" w:rsidRPr="00616D9C" w:rsidRDefault="00412ACF" w:rsidP="00026629">
            <w:pPr>
              <w:spacing w:line="480" w:lineRule="exact"/>
              <w:jc w:val="center"/>
              <w:rPr>
                <w:sz w:val="28"/>
                <w:szCs w:val="28"/>
              </w:rPr>
            </w:pPr>
            <w:r w:rsidRPr="00616D9C">
              <w:rPr>
                <w:rFonts w:eastAsia="新細明體" w:cs="Times New Roman"/>
                <w:color w:val="000000"/>
                <w:kern w:val="0"/>
                <w:sz w:val="28"/>
                <w:szCs w:val="28"/>
              </w:rPr>
              <w:t>660</w:t>
            </w:r>
          </w:p>
        </w:tc>
        <w:tc>
          <w:tcPr>
            <w:tcW w:w="2123" w:type="dxa"/>
            <w:tcBorders>
              <w:right w:val="single" w:sz="18" w:space="0" w:color="000000"/>
            </w:tcBorders>
            <w:vAlign w:val="center"/>
          </w:tcPr>
          <w:p w:rsidR="00412ACF" w:rsidRPr="00616D9C" w:rsidRDefault="00412ACF" w:rsidP="00026629">
            <w:pPr>
              <w:spacing w:line="480" w:lineRule="exact"/>
              <w:jc w:val="center"/>
              <w:rPr>
                <w:sz w:val="28"/>
                <w:szCs w:val="28"/>
              </w:rPr>
            </w:pPr>
            <w:r w:rsidRPr="00616D9C">
              <w:rPr>
                <w:sz w:val="28"/>
                <w:szCs w:val="28"/>
              </w:rPr>
              <w:t>960</w:t>
            </w:r>
          </w:p>
        </w:tc>
      </w:tr>
      <w:tr w:rsidR="00412ACF" w:rsidRPr="00616D9C" w:rsidTr="00026629">
        <w:trPr>
          <w:jc w:val="center"/>
        </w:trPr>
        <w:tc>
          <w:tcPr>
            <w:tcW w:w="1980" w:type="dxa"/>
            <w:tcBorders>
              <w:left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Andrew G. Wiltshire</w:t>
            </w:r>
          </w:p>
        </w:tc>
        <w:tc>
          <w:tcPr>
            <w:tcW w:w="1705" w:type="dxa"/>
            <w:vAlign w:val="center"/>
          </w:tcPr>
          <w:p w:rsidR="00412ACF" w:rsidRPr="00616D9C" w:rsidRDefault="00412ACF" w:rsidP="00026629">
            <w:pPr>
              <w:spacing w:line="480" w:lineRule="exact"/>
              <w:jc w:val="center"/>
              <w:rPr>
                <w:rFonts w:eastAsia="新細明體" w:cs="Times New Roman"/>
                <w:color w:val="000000"/>
                <w:kern w:val="0"/>
                <w:sz w:val="26"/>
                <w:szCs w:val="26"/>
              </w:rPr>
            </w:pPr>
            <w:r w:rsidRPr="00616D9C">
              <w:rPr>
                <w:rFonts w:eastAsia="新細明體" w:cs="Times New Roman"/>
                <w:color w:val="000000"/>
                <w:kern w:val="0"/>
                <w:sz w:val="26"/>
                <w:szCs w:val="26"/>
              </w:rPr>
              <w:t>另類資產部</w:t>
            </w:r>
          </w:p>
          <w:p w:rsidR="00412ACF" w:rsidRPr="00616D9C" w:rsidRDefault="00412ACF" w:rsidP="00026629">
            <w:pPr>
              <w:spacing w:line="480" w:lineRule="exact"/>
              <w:jc w:val="center"/>
              <w:rPr>
                <w:sz w:val="26"/>
                <w:szCs w:val="26"/>
              </w:rPr>
            </w:pPr>
            <w:r w:rsidRPr="00616D9C">
              <w:rPr>
                <w:rFonts w:eastAsia="新細明體" w:cs="Times New Roman"/>
                <w:color w:val="000000"/>
                <w:kern w:val="0"/>
                <w:sz w:val="26"/>
                <w:szCs w:val="26"/>
              </w:rPr>
              <w:t>主管</w:t>
            </w:r>
          </w:p>
        </w:tc>
        <w:tc>
          <w:tcPr>
            <w:tcW w:w="1842" w:type="dxa"/>
            <w:vAlign w:val="center"/>
          </w:tcPr>
          <w:p w:rsidR="00412ACF" w:rsidRPr="00616D9C" w:rsidRDefault="00412ACF" w:rsidP="00026629">
            <w:pPr>
              <w:spacing w:line="480" w:lineRule="exact"/>
              <w:jc w:val="center"/>
              <w:rPr>
                <w:sz w:val="28"/>
                <w:szCs w:val="28"/>
              </w:rPr>
            </w:pPr>
            <w:r w:rsidRPr="00616D9C">
              <w:rPr>
                <w:sz w:val="28"/>
                <w:szCs w:val="28"/>
              </w:rPr>
              <w:t>660</w:t>
            </w:r>
          </w:p>
        </w:tc>
        <w:tc>
          <w:tcPr>
            <w:tcW w:w="1843" w:type="dxa"/>
            <w:vAlign w:val="center"/>
          </w:tcPr>
          <w:p w:rsidR="00412ACF" w:rsidRPr="00616D9C" w:rsidRDefault="00412ACF" w:rsidP="00026629">
            <w:pPr>
              <w:spacing w:line="480" w:lineRule="exact"/>
              <w:jc w:val="center"/>
              <w:rPr>
                <w:sz w:val="28"/>
                <w:szCs w:val="28"/>
              </w:rPr>
            </w:pPr>
            <w:r w:rsidRPr="00616D9C">
              <w:rPr>
                <w:sz w:val="28"/>
                <w:szCs w:val="28"/>
              </w:rPr>
              <w:t>790</w:t>
            </w:r>
          </w:p>
        </w:tc>
        <w:tc>
          <w:tcPr>
            <w:tcW w:w="2123" w:type="dxa"/>
            <w:tcBorders>
              <w:right w:val="single" w:sz="18" w:space="0" w:color="000000"/>
            </w:tcBorders>
            <w:vAlign w:val="center"/>
          </w:tcPr>
          <w:p w:rsidR="00412ACF" w:rsidRPr="00616D9C" w:rsidRDefault="00412ACF" w:rsidP="00026629">
            <w:pPr>
              <w:spacing w:line="480" w:lineRule="exact"/>
              <w:jc w:val="center"/>
              <w:rPr>
                <w:sz w:val="28"/>
                <w:szCs w:val="28"/>
              </w:rPr>
            </w:pPr>
            <w:r w:rsidRPr="00616D9C">
              <w:rPr>
                <w:sz w:val="28"/>
                <w:szCs w:val="28"/>
              </w:rPr>
              <w:t>850</w:t>
            </w:r>
          </w:p>
        </w:tc>
      </w:tr>
      <w:tr w:rsidR="00412ACF" w:rsidRPr="00616D9C" w:rsidTr="00026629">
        <w:trPr>
          <w:jc w:val="center"/>
        </w:trPr>
        <w:tc>
          <w:tcPr>
            <w:tcW w:w="1980" w:type="dxa"/>
            <w:tcBorders>
              <w:left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Daniel Cummings</w:t>
            </w:r>
          </w:p>
        </w:tc>
        <w:tc>
          <w:tcPr>
            <w:tcW w:w="1705" w:type="dxa"/>
            <w:vAlign w:val="center"/>
          </w:tcPr>
          <w:p w:rsidR="00412ACF" w:rsidRPr="00616D9C" w:rsidRDefault="00412ACF" w:rsidP="00026629">
            <w:pPr>
              <w:spacing w:line="480" w:lineRule="exact"/>
              <w:jc w:val="center"/>
              <w:rPr>
                <w:rFonts w:eastAsia="新細明體" w:cs="Times New Roman"/>
                <w:color w:val="000000"/>
                <w:kern w:val="0"/>
                <w:sz w:val="26"/>
                <w:szCs w:val="26"/>
              </w:rPr>
            </w:pPr>
            <w:r w:rsidRPr="00616D9C">
              <w:rPr>
                <w:rFonts w:eastAsia="新細明體" w:cs="Times New Roman"/>
                <w:color w:val="000000"/>
                <w:kern w:val="0"/>
                <w:sz w:val="26"/>
                <w:szCs w:val="26"/>
              </w:rPr>
              <w:t>房地產投資</w:t>
            </w:r>
          </w:p>
          <w:p w:rsidR="00412ACF" w:rsidRPr="00616D9C" w:rsidRDefault="00412ACF" w:rsidP="00026629">
            <w:pPr>
              <w:spacing w:line="480" w:lineRule="exact"/>
              <w:jc w:val="center"/>
              <w:rPr>
                <w:sz w:val="26"/>
                <w:szCs w:val="26"/>
              </w:rPr>
            </w:pPr>
            <w:r w:rsidRPr="00616D9C">
              <w:rPr>
                <w:rFonts w:eastAsia="新細明體" w:cs="Times New Roman"/>
                <w:color w:val="000000"/>
                <w:kern w:val="0"/>
                <w:sz w:val="26"/>
                <w:szCs w:val="26"/>
              </w:rPr>
              <w:t>組合經理</w:t>
            </w:r>
          </w:p>
        </w:tc>
        <w:tc>
          <w:tcPr>
            <w:tcW w:w="1842" w:type="dxa"/>
            <w:vAlign w:val="center"/>
          </w:tcPr>
          <w:p w:rsidR="00412ACF" w:rsidRPr="00616D9C" w:rsidRDefault="00412ACF" w:rsidP="00026629">
            <w:pPr>
              <w:spacing w:line="480" w:lineRule="exact"/>
              <w:jc w:val="center"/>
              <w:rPr>
                <w:sz w:val="28"/>
                <w:szCs w:val="28"/>
              </w:rPr>
            </w:pPr>
          </w:p>
        </w:tc>
        <w:tc>
          <w:tcPr>
            <w:tcW w:w="1843" w:type="dxa"/>
            <w:vAlign w:val="center"/>
          </w:tcPr>
          <w:p w:rsidR="00412ACF" w:rsidRPr="00616D9C" w:rsidRDefault="00412ACF" w:rsidP="00026629">
            <w:pPr>
              <w:spacing w:line="480" w:lineRule="exact"/>
              <w:jc w:val="center"/>
              <w:rPr>
                <w:sz w:val="28"/>
                <w:szCs w:val="28"/>
              </w:rPr>
            </w:pPr>
            <w:r w:rsidRPr="00616D9C">
              <w:rPr>
                <w:sz w:val="28"/>
                <w:szCs w:val="28"/>
              </w:rPr>
              <w:t>420</w:t>
            </w:r>
          </w:p>
        </w:tc>
        <w:tc>
          <w:tcPr>
            <w:tcW w:w="2123" w:type="dxa"/>
            <w:tcBorders>
              <w:right w:val="single" w:sz="18" w:space="0" w:color="000000"/>
            </w:tcBorders>
            <w:vAlign w:val="center"/>
          </w:tcPr>
          <w:p w:rsidR="00412ACF" w:rsidRPr="00616D9C" w:rsidRDefault="00412ACF" w:rsidP="00026629">
            <w:pPr>
              <w:spacing w:line="480" w:lineRule="exact"/>
              <w:jc w:val="center"/>
              <w:rPr>
                <w:sz w:val="28"/>
                <w:szCs w:val="28"/>
              </w:rPr>
            </w:pPr>
            <w:r w:rsidRPr="00616D9C">
              <w:rPr>
                <w:sz w:val="28"/>
                <w:szCs w:val="28"/>
              </w:rPr>
              <w:t>540</w:t>
            </w:r>
          </w:p>
        </w:tc>
      </w:tr>
      <w:tr w:rsidR="00412ACF" w:rsidRPr="00616D9C" w:rsidTr="00026629">
        <w:trPr>
          <w:jc w:val="center"/>
        </w:trPr>
        <w:tc>
          <w:tcPr>
            <w:tcW w:w="1980" w:type="dxa"/>
            <w:tcBorders>
              <w:left w:val="single" w:sz="18" w:space="0" w:color="000000"/>
              <w:bottom w:val="single" w:sz="18" w:space="0" w:color="000000"/>
            </w:tcBorders>
            <w:vAlign w:val="center"/>
          </w:tcPr>
          <w:p w:rsidR="00412ACF" w:rsidRPr="00616D9C" w:rsidRDefault="00412ACF" w:rsidP="00026629">
            <w:pPr>
              <w:spacing w:line="480" w:lineRule="exact"/>
              <w:rPr>
                <w:sz w:val="28"/>
                <w:szCs w:val="28"/>
              </w:rPr>
            </w:pPr>
            <w:r w:rsidRPr="00616D9C">
              <w:rPr>
                <w:rFonts w:eastAsia="新細明體" w:cs="Times New Roman"/>
                <w:color w:val="000000"/>
                <w:kern w:val="0"/>
                <w:sz w:val="28"/>
                <w:szCs w:val="28"/>
              </w:rPr>
              <w:t xml:space="preserve">Marco </w:t>
            </w:r>
            <w:proofErr w:type="spellStart"/>
            <w:r w:rsidRPr="00616D9C">
              <w:rPr>
                <w:rFonts w:eastAsia="新細明體" w:cs="Times New Roman"/>
                <w:color w:val="000000"/>
                <w:kern w:val="0"/>
                <w:sz w:val="28"/>
                <w:szCs w:val="28"/>
              </w:rPr>
              <w:t>Barrozo</w:t>
            </w:r>
            <w:proofErr w:type="spellEnd"/>
          </w:p>
        </w:tc>
        <w:tc>
          <w:tcPr>
            <w:tcW w:w="1705" w:type="dxa"/>
            <w:tcBorders>
              <w:bottom w:val="single" w:sz="18" w:space="0" w:color="000000"/>
            </w:tcBorders>
            <w:vAlign w:val="center"/>
          </w:tcPr>
          <w:p w:rsidR="00412ACF" w:rsidRPr="00616D9C" w:rsidRDefault="00412ACF" w:rsidP="00026629">
            <w:pPr>
              <w:spacing w:line="480" w:lineRule="exact"/>
              <w:jc w:val="center"/>
              <w:rPr>
                <w:sz w:val="26"/>
                <w:szCs w:val="26"/>
              </w:rPr>
            </w:pPr>
            <w:r w:rsidRPr="00616D9C">
              <w:rPr>
                <w:sz w:val="26"/>
                <w:szCs w:val="26"/>
              </w:rPr>
              <w:t>固定收益投資組合經理</w:t>
            </w:r>
          </w:p>
        </w:tc>
        <w:tc>
          <w:tcPr>
            <w:tcW w:w="1842" w:type="dxa"/>
            <w:tcBorders>
              <w:bottom w:val="single" w:sz="18" w:space="0" w:color="000000"/>
            </w:tcBorders>
            <w:vAlign w:val="center"/>
          </w:tcPr>
          <w:p w:rsidR="00412ACF" w:rsidRPr="00616D9C" w:rsidRDefault="00412ACF" w:rsidP="00026629">
            <w:pPr>
              <w:spacing w:line="480" w:lineRule="exact"/>
              <w:jc w:val="center"/>
              <w:rPr>
                <w:sz w:val="28"/>
                <w:szCs w:val="28"/>
              </w:rPr>
            </w:pPr>
          </w:p>
        </w:tc>
        <w:tc>
          <w:tcPr>
            <w:tcW w:w="1843" w:type="dxa"/>
            <w:tcBorders>
              <w:bottom w:val="single" w:sz="18" w:space="0" w:color="000000"/>
            </w:tcBorders>
            <w:vAlign w:val="center"/>
          </w:tcPr>
          <w:p w:rsidR="00412ACF" w:rsidRPr="00616D9C" w:rsidRDefault="00412ACF" w:rsidP="00026629">
            <w:pPr>
              <w:spacing w:line="480" w:lineRule="exact"/>
              <w:jc w:val="center"/>
              <w:rPr>
                <w:sz w:val="28"/>
                <w:szCs w:val="28"/>
              </w:rPr>
            </w:pPr>
          </w:p>
        </w:tc>
        <w:tc>
          <w:tcPr>
            <w:tcW w:w="2123" w:type="dxa"/>
            <w:tcBorders>
              <w:bottom w:val="single" w:sz="18" w:space="0" w:color="000000"/>
              <w:right w:val="single" w:sz="18" w:space="0" w:color="000000"/>
            </w:tcBorders>
            <w:vAlign w:val="center"/>
          </w:tcPr>
          <w:p w:rsidR="00412ACF" w:rsidRPr="00616D9C" w:rsidRDefault="00412ACF" w:rsidP="00026629">
            <w:pPr>
              <w:spacing w:line="480" w:lineRule="exact"/>
              <w:jc w:val="center"/>
              <w:rPr>
                <w:sz w:val="28"/>
                <w:szCs w:val="28"/>
              </w:rPr>
            </w:pPr>
            <w:r w:rsidRPr="00616D9C">
              <w:rPr>
                <w:sz w:val="28"/>
                <w:szCs w:val="28"/>
              </w:rPr>
              <w:t>480</w:t>
            </w:r>
          </w:p>
        </w:tc>
      </w:tr>
    </w:tbl>
    <w:p w:rsidR="00412ACF" w:rsidRPr="00616D9C" w:rsidRDefault="00412ACF" w:rsidP="00412ACF">
      <w:pPr>
        <w:spacing w:line="480" w:lineRule="exact"/>
        <w:rPr>
          <w:sz w:val="28"/>
          <w:szCs w:val="28"/>
        </w:rPr>
      </w:pPr>
      <w:r w:rsidRPr="00616D9C">
        <w:rPr>
          <w:sz w:val="28"/>
          <w:szCs w:val="28"/>
        </w:rPr>
        <w:t>資料來源</w:t>
      </w:r>
      <w:r w:rsidRPr="00616D9C">
        <w:rPr>
          <w:sz w:val="28"/>
          <w:szCs w:val="28"/>
        </w:rPr>
        <w:t>:</w:t>
      </w:r>
    </w:p>
    <w:p w:rsidR="00412ACF" w:rsidRPr="00616D9C" w:rsidRDefault="00412ACF" w:rsidP="00412ACF">
      <w:pPr>
        <w:spacing w:line="480" w:lineRule="exact"/>
        <w:rPr>
          <w:rFonts w:eastAsia="新細明體" w:cs="Times New Roman"/>
          <w:color w:val="000000" w:themeColor="text1"/>
          <w:kern w:val="0"/>
          <w:sz w:val="28"/>
          <w:szCs w:val="28"/>
        </w:rPr>
      </w:pPr>
      <w:proofErr w:type="gramStart"/>
      <w:r w:rsidRPr="00616D9C">
        <w:rPr>
          <w:rFonts w:ascii="微軟正黑體" w:eastAsia="微軟正黑體" w:hAnsi="微軟正黑體" w:cs="微軟正黑體" w:hint="eastAsia"/>
          <w:color w:val="000000" w:themeColor="text1"/>
          <w:kern w:val="0"/>
          <w:sz w:val="28"/>
          <w:szCs w:val="28"/>
        </w:rPr>
        <w:t>‧</w:t>
      </w:r>
      <w:proofErr w:type="gramEnd"/>
      <w:r>
        <w:fldChar w:fldCharType="begin"/>
      </w:r>
      <w:r>
        <w:instrText xml:space="preserve"> HYPERLINK "http://harvardmagazine.com/2015/05/harvard-pays-endowment-manager-11-million" </w:instrText>
      </w:r>
      <w:r>
        <w:fldChar w:fldCharType="separate"/>
      </w:r>
      <w:r w:rsidRPr="00616D9C">
        <w:rPr>
          <w:rStyle w:val="af2"/>
          <w:rFonts w:eastAsia="新細明體" w:cs="Times New Roman"/>
          <w:color w:val="000000" w:themeColor="text1"/>
          <w:kern w:val="0"/>
          <w:sz w:val="28"/>
          <w:szCs w:val="28"/>
        </w:rPr>
        <w:t>2013</w:t>
      </w:r>
      <w:r w:rsidRPr="00616D9C">
        <w:rPr>
          <w:rStyle w:val="af2"/>
          <w:rFonts w:eastAsia="新細明體" w:cs="Times New Roman"/>
          <w:color w:val="000000" w:themeColor="text1"/>
          <w:kern w:val="0"/>
          <w:sz w:val="28"/>
          <w:szCs w:val="28"/>
        </w:rPr>
        <w:t>年</w:t>
      </w:r>
      <w:r w:rsidRPr="00616D9C">
        <w:rPr>
          <w:rStyle w:val="af2"/>
          <w:rFonts w:eastAsia="新細明體" w:cs="Times New Roman"/>
          <w:color w:val="000000" w:themeColor="text1"/>
          <w:kern w:val="0"/>
          <w:sz w:val="28"/>
          <w:szCs w:val="28"/>
        </w:rPr>
        <w:t xml:space="preserve"> </w:t>
      </w:r>
      <w:r w:rsidRPr="00616D9C">
        <w:rPr>
          <w:rStyle w:val="af2"/>
          <w:rFonts w:eastAsia="新細明體" w:cs="Times New Roman"/>
          <w:color w:val="000000" w:themeColor="text1"/>
          <w:kern w:val="0"/>
          <w:sz w:val="28"/>
          <w:szCs w:val="28"/>
        </w:rPr>
        <w:t>哈佛管理公司薪酬最高的管理階層</w:t>
      </w:r>
      <w:r>
        <w:rPr>
          <w:rStyle w:val="af2"/>
          <w:rFonts w:eastAsia="新細明體" w:cs="Times New Roman"/>
          <w:color w:val="000000" w:themeColor="text1"/>
          <w:kern w:val="0"/>
          <w:sz w:val="28"/>
          <w:szCs w:val="28"/>
          <w:u w:val="none"/>
        </w:rPr>
        <w:fldChar w:fldCharType="end"/>
      </w:r>
    </w:p>
    <w:p w:rsidR="00412ACF" w:rsidRPr="00616D9C" w:rsidRDefault="00412ACF" w:rsidP="00412ACF">
      <w:pPr>
        <w:widowControl/>
        <w:spacing w:line="480" w:lineRule="exact"/>
        <w:rPr>
          <w:rStyle w:val="af2"/>
          <w:color w:val="000000" w:themeColor="text1"/>
          <w:sz w:val="28"/>
          <w:szCs w:val="28"/>
        </w:rPr>
      </w:pPr>
      <w:proofErr w:type="gramStart"/>
      <w:r w:rsidRPr="00616D9C">
        <w:rPr>
          <w:rFonts w:ascii="微軟正黑體" w:eastAsia="微軟正黑體" w:hAnsi="微軟正黑體" w:cs="微軟正黑體" w:hint="eastAsia"/>
          <w:color w:val="000000" w:themeColor="text1"/>
          <w:sz w:val="28"/>
          <w:szCs w:val="28"/>
        </w:rPr>
        <w:t>‧</w:t>
      </w:r>
      <w:proofErr w:type="gramEnd"/>
      <w:r>
        <w:fldChar w:fldCharType="begin"/>
      </w:r>
      <w:r>
        <w:instrText xml:space="preserve"> HYPERLINK "http://www.harvard.edu/about-harvard/harvard-glance/endowment" </w:instrText>
      </w:r>
      <w:r>
        <w:fldChar w:fldCharType="separate"/>
      </w:r>
      <w:r w:rsidRPr="00616D9C">
        <w:rPr>
          <w:rStyle w:val="af2"/>
          <w:color w:val="000000" w:themeColor="text1"/>
          <w:sz w:val="28"/>
          <w:szCs w:val="28"/>
        </w:rPr>
        <w:t>http://www.harvard.edu/about-harvard/harvard-glance/endowment</w:t>
      </w:r>
      <w:r>
        <w:rPr>
          <w:rStyle w:val="af2"/>
          <w:color w:val="000000" w:themeColor="text1"/>
          <w:sz w:val="28"/>
          <w:szCs w:val="28"/>
          <w:u w:val="none"/>
        </w:rPr>
        <w:fldChar w:fldCharType="end"/>
      </w:r>
    </w:p>
    <w:p w:rsidR="00412ACF" w:rsidRPr="00616D9C" w:rsidRDefault="00412ACF" w:rsidP="00412ACF">
      <w:pPr>
        <w:pStyle w:val="1"/>
        <w:spacing w:before="0" w:beforeAutospacing="0" w:after="0" w:afterAutospacing="0" w:line="480" w:lineRule="exact"/>
        <w:rPr>
          <w:rFonts w:asciiTheme="minorHAnsi" w:hAnsiTheme="minorHAnsi" w:cs="Arial"/>
          <w:b w:val="0"/>
          <w:bCs w:val="0"/>
          <w:color w:val="615E5A"/>
          <w:sz w:val="28"/>
          <w:szCs w:val="28"/>
        </w:rPr>
      </w:pPr>
      <w:proofErr w:type="gramStart"/>
      <w:r w:rsidRPr="00616D9C">
        <w:rPr>
          <w:rStyle w:val="af2"/>
          <w:rFonts w:ascii="微軟正黑體" w:eastAsia="微軟正黑體" w:hAnsi="微軟正黑體" w:cs="微軟正黑體" w:hint="eastAsia"/>
          <w:b w:val="0"/>
          <w:color w:val="000000" w:themeColor="text1"/>
          <w:sz w:val="28"/>
          <w:szCs w:val="28"/>
        </w:rPr>
        <w:t>‧</w:t>
      </w:r>
      <w:proofErr w:type="gramEnd"/>
      <w:r>
        <w:fldChar w:fldCharType="begin"/>
      </w:r>
      <w:r>
        <w:instrText xml:space="preserve"> HYPERLINK "http://harvardmagazine.com/2014/05/harvard-endowment-managers-executives-compensation" </w:instrText>
      </w:r>
      <w:r>
        <w:fldChar w:fldCharType="separate"/>
      </w:r>
      <w:r w:rsidRPr="00616D9C">
        <w:rPr>
          <w:rStyle w:val="af2"/>
          <w:rFonts w:asciiTheme="minorHAnsi" w:hAnsiTheme="minorHAnsi" w:cs="Arial"/>
          <w:b w:val="0"/>
          <w:bCs w:val="0"/>
          <w:color w:val="000000" w:themeColor="text1"/>
          <w:sz w:val="28"/>
          <w:szCs w:val="28"/>
        </w:rPr>
        <w:t>Harvard Executives</w:t>
      </w:r>
      <w:proofErr w:type="gramStart"/>
      <w:r w:rsidRPr="00616D9C">
        <w:rPr>
          <w:rStyle w:val="af2"/>
          <w:rFonts w:asciiTheme="minorHAnsi" w:hAnsiTheme="minorHAnsi" w:cs="Arial"/>
          <w:b w:val="0"/>
          <w:bCs w:val="0"/>
          <w:color w:val="000000" w:themeColor="text1"/>
          <w:sz w:val="28"/>
          <w:szCs w:val="28"/>
        </w:rPr>
        <w:t>’</w:t>
      </w:r>
      <w:proofErr w:type="gramEnd"/>
      <w:r w:rsidRPr="00616D9C">
        <w:rPr>
          <w:rStyle w:val="af2"/>
          <w:rFonts w:asciiTheme="minorHAnsi" w:hAnsiTheme="minorHAnsi" w:cs="Arial"/>
          <w:b w:val="0"/>
          <w:bCs w:val="0"/>
          <w:color w:val="000000" w:themeColor="text1"/>
          <w:sz w:val="28"/>
          <w:szCs w:val="28"/>
        </w:rPr>
        <w:t xml:space="preserve"> Compensation Reported</w:t>
      </w:r>
      <w:r>
        <w:rPr>
          <w:rStyle w:val="af2"/>
          <w:rFonts w:asciiTheme="minorHAnsi" w:hAnsiTheme="minorHAnsi" w:cs="Arial"/>
          <w:b w:val="0"/>
          <w:bCs w:val="0"/>
          <w:color w:val="000000" w:themeColor="text1"/>
          <w:sz w:val="28"/>
          <w:szCs w:val="28"/>
          <w:u w:val="none"/>
        </w:rPr>
        <w:fldChar w:fldCharType="end"/>
      </w:r>
    </w:p>
    <w:p w:rsidR="00412ACF" w:rsidRPr="00616D9C" w:rsidRDefault="00412ACF" w:rsidP="00412ACF">
      <w:pPr>
        <w:widowControl/>
        <w:spacing w:line="480" w:lineRule="exact"/>
        <w:rPr>
          <w:noProof/>
          <w:sz w:val="28"/>
          <w:szCs w:val="28"/>
        </w:rPr>
      </w:pPr>
    </w:p>
    <w:p w:rsidR="00412ACF" w:rsidRPr="00616D9C" w:rsidRDefault="00412ACF" w:rsidP="00412ACF">
      <w:pPr>
        <w:widowControl/>
        <w:spacing w:line="480" w:lineRule="exact"/>
        <w:rPr>
          <w:sz w:val="28"/>
          <w:szCs w:val="28"/>
        </w:rPr>
      </w:pPr>
      <w:r w:rsidRPr="00616D9C">
        <w:rPr>
          <w:noProof/>
          <w:sz w:val="28"/>
          <w:szCs w:val="28"/>
        </w:rPr>
        <w:drawing>
          <wp:anchor distT="0" distB="0" distL="114300" distR="114300" simplePos="0" relativeHeight="251682816" behindDoc="0" locked="0" layoutInCell="1" allowOverlap="1" wp14:anchorId="30593017" wp14:editId="68969E5F">
            <wp:simplePos x="0" y="0"/>
            <wp:positionH relativeFrom="margin">
              <wp:align>right</wp:align>
            </wp:positionH>
            <wp:positionV relativeFrom="paragraph">
              <wp:posOffset>222885</wp:posOffset>
            </wp:positionV>
            <wp:extent cx="5724525" cy="2832100"/>
            <wp:effectExtent l="19050" t="19050" r="28575" b="25400"/>
            <wp:wrapNone/>
            <wp:docPr id="22" name="圖片 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171" t="28934" r="20287" b="18288"/>
                    <a:stretch/>
                  </pic:blipFill>
                  <pic:spPr bwMode="auto">
                    <a:xfrm>
                      <a:off x="0" y="0"/>
                      <a:ext cx="5724525" cy="2832100"/>
                    </a:xfrm>
                    <a:prstGeom prst="rect">
                      <a:avLst/>
                    </a:prstGeom>
                    <a:ln>
                      <a:solidFill>
                        <a:schemeClr val="accent3">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ACF" w:rsidRPr="00616D9C" w:rsidRDefault="00412ACF" w:rsidP="00412ACF">
      <w:pPr>
        <w:widowControl/>
        <w:spacing w:line="480" w:lineRule="exact"/>
        <w:rPr>
          <w:sz w:val="28"/>
          <w:szCs w:val="28"/>
        </w:rPr>
      </w:pPr>
      <w:r w:rsidRPr="00616D9C">
        <w:rPr>
          <w:noProof/>
          <w:sz w:val="28"/>
          <w:szCs w:val="28"/>
        </w:rPr>
        <mc:AlternateContent>
          <mc:Choice Requires="wps">
            <w:drawing>
              <wp:anchor distT="45720" distB="45720" distL="114300" distR="114300" simplePos="0" relativeHeight="251683840" behindDoc="0" locked="0" layoutInCell="1" allowOverlap="1" wp14:anchorId="75468F4E" wp14:editId="2EF499A6">
                <wp:simplePos x="0" y="0"/>
                <wp:positionH relativeFrom="column">
                  <wp:posOffset>2046605</wp:posOffset>
                </wp:positionH>
                <wp:positionV relativeFrom="paragraph">
                  <wp:posOffset>11430</wp:posOffset>
                </wp:positionV>
                <wp:extent cx="2849880" cy="1404620"/>
                <wp:effectExtent l="0" t="0" r="26670" b="1397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FF"/>
                        </a:solidFill>
                        <a:ln w="9525">
                          <a:solidFill>
                            <a:srgbClr val="000000"/>
                          </a:solidFill>
                          <a:miter lim="800000"/>
                          <a:headEnd/>
                          <a:tailEnd/>
                        </a:ln>
                      </wps:spPr>
                      <wps:txbx>
                        <w:txbxContent>
                          <w:p w:rsidR="00412ACF" w:rsidRPr="00092B76" w:rsidRDefault="00412ACF" w:rsidP="00412ACF">
                            <w:pPr>
                              <w:rPr>
                                <w:b/>
                                <w:color w:val="833C0B" w:themeColor="accent2" w:themeShade="80"/>
                              </w:rPr>
                            </w:pPr>
                            <w:r>
                              <w:rPr>
                                <w:b/>
                                <w:noProof/>
                                <w:color w:val="833C0B" w:themeColor="accent2" w:themeShade="80"/>
                              </w:rPr>
                              <w:t>(</w:t>
                            </w:r>
                            <w:r w:rsidRPr="00092B76">
                              <w:rPr>
                                <w:rFonts w:hint="eastAsia"/>
                                <w:b/>
                                <w:noProof/>
                                <w:color w:val="833C0B" w:themeColor="accent2" w:themeShade="80"/>
                              </w:rPr>
                              <w:t>1</w:t>
                            </w:r>
                            <w:r w:rsidRPr="00092B76">
                              <w:rPr>
                                <w:b/>
                                <w:noProof/>
                                <w:color w:val="833C0B" w:themeColor="accent2" w:themeShade="80"/>
                              </w:rPr>
                              <w:t xml:space="preserve">975~2015 </w:t>
                            </w:r>
                            <w:r>
                              <w:rPr>
                                <w:b/>
                                <w:noProof/>
                                <w:color w:val="833C0B" w:themeColor="accent2" w:themeShade="80"/>
                              </w:rPr>
                              <w:t>)</w:t>
                            </w:r>
                            <w:r w:rsidRPr="00092B76">
                              <w:rPr>
                                <w:rFonts w:hint="eastAsia"/>
                                <w:b/>
                                <w:noProof/>
                                <w:color w:val="833C0B" w:themeColor="accent2" w:themeShade="80"/>
                              </w:rPr>
                              <w:t>會計年度校務基金報酬率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68F4E" id="_x0000_s1027" type="#_x0000_t202" style="position:absolute;margin-left:161.15pt;margin-top:.9pt;width:224.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">
                <v:textbox style="mso-fit-shape-to-text:t">
                  <w:txbxContent>
                    <w:p w:rsidR="00412ACF" w:rsidRPr="00092B76" w:rsidRDefault="00412ACF" w:rsidP="00412ACF">
                      <w:pPr>
                        <w:rPr>
                          <w:b/>
                          <w:color w:val="833C0B" w:themeColor="accent2" w:themeShade="80"/>
                        </w:rPr>
                      </w:pPr>
                      <w:r>
                        <w:rPr>
                          <w:b/>
                          <w:noProof/>
                          <w:color w:val="833C0B" w:themeColor="accent2" w:themeShade="80"/>
                        </w:rPr>
                        <w:t>(</w:t>
                      </w:r>
                      <w:r w:rsidRPr="00092B76">
                        <w:rPr>
                          <w:rFonts w:hint="eastAsia"/>
                          <w:b/>
                          <w:noProof/>
                          <w:color w:val="833C0B" w:themeColor="accent2" w:themeShade="80"/>
                        </w:rPr>
                        <w:t>1</w:t>
                      </w:r>
                      <w:r w:rsidRPr="00092B76">
                        <w:rPr>
                          <w:b/>
                          <w:noProof/>
                          <w:color w:val="833C0B" w:themeColor="accent2" w:themeShade="80"/>
                        </w:rPr>
                        <w:t xml:space="preserve">975~2015 </w:t>
                      </w:r>
                      <w:r>
                        <w:rPr>
                          <w:b/>
                          <w:noProof/>
                          <w:color w:val="833C0B" w:themeColor="accent2" w:themeShade="80"/>
                        </w:rPr>
                        <w:t>)</w:t>
                      </w:r>
                      <w:r w:rsidRPr="00092B76">
                        <w:rPr>
                          <w:rFonts w:hint="eastAsia"/>
                          <w:b/>
                          <w:noProof/>
                          <w:color w:val="833C0B" w:themeColor="accent2" w:themeShade="80"/>
                        </w:rPr>
                        <w:t>會計年度校務基金報酬率</w:t>
                      </w:r>
                    </w:p>
                  </w:txbxContent>
                </v:textbox>
                <w10:wrap type="square"/>
              </v:shape>
            </w:pict>
          </mc:Fallback>
        </mc:AlternateContent>
      </w: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r w:rsidRPr="00616D9C">
        <w:rPr>
          <w:noProof/>
          <w:sz w:val="28"/>
          <w:szCs w:val="28"/>
        </w:rPr>
        <mc:AlternateContent>
          <mc:Choice Requires="wps">
            <w:drawing>
              <wp:anchor distT="45720" distB="45720" distL="114300" distR="114300" simplePos="0" relativeHeight="251684864" behindDoc="0" locked="0" layoutInCell="1" allowOverlap="1" wp14:anchorId="78B747F3" wp14:editId="2A501C88">
                <wp:simplePos x="0" y="0"/>
                <wp:positionH relativeFrom="column">
                  <wp:posOffset>259715</wp:posOffset>
                </wp:positionH>
                <wp:positionV relativeFrom="paragraph">
                  <wp:posOffset>110490</wp:posOffset>
                </wp:positionV>
                <wp:extent cx="289560" cy="801370"/>
                <wp:effectExtent l="0" t="0" r="0" b="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801370"/>
                        </a:xfrm>
                        <a:prstGeom prst="rect">
                          <a:avLst/>
                        </a:prstGeom>
                        <a:noFill/>
                        <a:ln w="9525">
                          <a:noFill/>
                          <a:miter lim="800000"/>
                          <a:headEnd/>
                          <a:tailEnd/>
                        </a:ln>
                      </wps:spPr>
                      <wps:txbx>
                        <w:txbxContent>
                          <w:p w:rsidR="00412ACF" w:rsidRPr="00616D9C" w:rsidRDefault="00412ACF" w:rsidP="00412ACF">
                            <w:pPr>
                              <w:rPr>
                                <w:b/>
                                <w:color w:val="000000" w:themeColor="text1"/>
                              </w:rPr>
                            </w:pPr>
                            <w:r w:rsidRPr="00616D9C">
                              <w:rPr>
                                <w:b/>
                                <w:color w:val="000000" w:themeColor="text1"/>
                              </w:rPr>
                              <w:t>報</w:t>
                            </w:r>
                            <w:r w:rsidRPr="00616D9C">
                              <w:rPr>
                                <w:rFonts w:hint="eastAsia"/>
                                <w:b/>
                                <w:color w:val="000000" w:themeColor="text1"/>
                              </w:rPr>
                              <w:t>酬率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47F3" id="_x0000_s1028" type="#_x0000_t202" style="position:absolute;margin-left:20.45pt;margin-top:8.7pt;width:22.8pt;height:63.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" filled="f" stroked="f">
                <v:textbox>
                  <w:txbxContent>
                    <w:p w:rsidR="00412ACF" w:rsidRPr="00616D9C" w:rsidRDefault="00412ACF" w:rsidP="00412ACF">
                      <w:pPr>
                        <w:rPr>
                          <w:b/>
                          <w:color w:val="000000" w:themeColor="text1"/>
                        </w:rPr>
                      </w:pPr>
                      <w:r w:rsidRPr="00616D9C">
                        <w:rPr>
                          <w:b/>
                          <w:color w:val="000000" w:themeColor="text1"/>
                        </w:rPr>
                        <w:t>報</w:t>
                      </w:r>
                      <w:r w:rsidRPr="00616D9C">
                        <w:rPr>
                          <w:rFonts w:hint="eastAsia"/>
                          <w:b/>
                          <w:color w:val="000000" w:themeColor="text1"/>
                        </w:rPr>
                        <w:t>酬率</w:t>
                      </w:r>
                    </w:p>
                  </w:txbxContent>
                </v:textbox>
                <w10:wrap type="square"/>
              </v:shape>
            </w:pict>
          </mc:Fallback>
        </mc:AlternateContent>
      </w: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r w:rsidRPr="00616D9C">
        <w:rPr>
          <w:noProof/>
          <w:sz w:val="28"/>
          <w:szCs w:val="28"/>
        </w:rPr>
        <mc:AlternateContent>
          <mc:Choice Requires="wps">
            <w:drawing>
              <wp:anchor distT="0" distB="0" distL="114300" distR="114300" simplePos="0" relativeHeight="251687936" behindDoc="0" locked="0" layoutInCell="1" allowOverlap="1" wp14:anchorId="5E634C92" wp14:editId="227D5B9A">
                <wp:simplePos x="0" y="0"/>
                <wp:positionH relativeFrom="column">
                  <wp:posOffset>2117090</wp:posOffset>
                </wp:positionH>
                <wp:positionV relativeFrom="paragraph">
                  <wp:posOffset>180975</wp:posOffset>
                </wp:positionV>
                <wp:extent cx="483870" cy="600075"/>
                <wp:effectExtent l="0" t="38100" r="49530" b="28575"/>
                <wp:wrapNone/>
                <wp:docPr id="19" name="直線單箭頭接點 19"/>
                <wp:cNvGraphicFramePr/>
                <a:graphic xmlns:a="http://schemas.openxmlformats.org/drawingml/2006/main">
                  <a:graphicData uri="http://schemas.microsoft.com/office/word/2010/wordprocessingShape">
                    <wps:wsp>
                      <wps:cNvCnPr/>
                      <wps:spPr>
                        <a:xfrm flipV="1">
                          <a:off x="0" y="0"/>
                          <a:ext cx="483870" cy="6000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4BD288" id="_x0000_t32" coordsize="21600,21600" o:spt="32" o:oned="t" path="m,l21600,21600e" filled="f">
                <v:path arrowok="t" fillok="f" o:connecttype="none"/>
                <o:lock v:ext="edit" shapetype="t"/>
              </v:shapetype>
              <v:shape id="直線單箭頭接點 19" o:spid="_x0000_s1026" type="#_x0000_t32" style="position:absolute;margin-left:166.7pt;margin-top:14.25pt;width:38.1pt;height:47.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" strokecolor="#ed7d31 [3205]" strokeweight="1.5pt">
                <v:stroke endarrow="block" joinstyle="miter"/>
              </v:shape>
            </w:pict>
          </mc:Fallback>
        </mc:AlternateContent>
      </w:r>
    </w:p>
    <w:p w:rsidR="00412ACF" w:rsidRPr="00616D9C" w:rsidRDefault="00412ACF" w:rsidP="00412ACF">
      <w:pPr>
        <w:widowControl/>
        <w:spacing w:line="480" w:lineRule="exact"/>
        <w:rPr>
          <w:sz w:val="28"/>
          <w:szCs w:val="28"/>
        </w:rPr>
      </w:pPr>
      <w:r w:rsidRPr="00616D9C">
        <w:rPr>
          <w:noProof/>
          <w:sz w:val="28"/>
          <w:szCs w:val="28"/>
        </w:rPr>
        <mc:AlternateContent>
          <mc:Choice Requires="wps">
            <w:drawing>
              <wp:anchor distT="45720" distB="45720" distL="114300" distR="114300" simplePos="0" relativeHeight="251685888" behindDoc="0" locked="0" layoutInCell="1" allowOverlap="1" wp14:anchorId="3E2FDF43" wp14:editId="4D94EFA5">
                <wp:simplePos x="0" y="0"/>
                <wp:positionH relativeFrom="column">
                  <wp:posOffset>3010535</wp:posOffset>
                </wp:positionH>
                <wp:positionV relativeFrom="paragraph">
                  <wp:posOffset>40005</wp:posOffset>
                </wp:positionV>
                <wp:extent cx="845820" cy="320040"/>
                <wp:effectExtent l="0" t="0" r="0" b="381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noFill/>
                        <a:ln w="9525">
                          <a:noFill/>
                          <a:miter lim="800000"/>
                          <a:headEnd/>
                          <a:tailEnd/>
                        </a:ln>
                      </wps:spPr>
                      <wps:txbx>
                        <w:txbxContent>
                          <w:p w:rsidR="00412ACF" w:rsidRPr="00616D9C" w:rsidRDefault="00412ACF" w:rsidP="00412ACF">
                            <w:pPr>
                              <w:rPr>
                                <w:b/>
                                <w:color w:val="000000" w:themeColor="text1"/>
                              </w:rPr>
                            </w:pPr>
                            <w:r w:rsidRPr="00616D9C">
                              <w:rPr>
                                <w:rFonts w:hint="eastAsia"/>
                                <w:b/>
                                <w:color w:val="000000" w:themeColor="text1"/>
                              </w:rPr>
                              <w:t>會計年</w:t>
                            </w:r>
                            <w:r w:rsidRPr="00616D9C">
                              <w:rPr>
                                <w:b/>
                                <w:color w:val="000000" w:themeColor="text1"/>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FDF43" id="_x0000_s1029" type="#_x0000_t202" style="position:absolute;margin-left:237.05pt;margin-top:3.15pt;width:66.6pt;height:25.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" filled="f" stroked="f">
                <v:textbox>
                  <w:txbxContent>
                    <w:p w:rsidR="00412ACF" w:rsidRPr="00616D9C" w:rsidRDefault="00412ACF" w:rsidP="00412ACF">
                      <w:pPr>
                        <w:rPr>
                          <w:b/>
                          <w:color w:val="000000" w:themeColor="text1"/>
                        </w:rPr>
                      </w:pPr>
                      <w:r w:rsidRPr="00616D9C">
                        <w:rPr>
                          <w:rFonts w:hint="eastAsia"/>
                          <w:b/>
                          <w:color w:val="000000" w:themeColor="text1"/>
                        </w:rPr>
                        <w:t>會計年</w:t>
                      </w:r>
                      <w:r w:rsidRPr="00616D9C">
                        <w:rPr>
                          <w:b/>
                          <w:color w:val="000000" w:themeColor="text1"/>
                        </w:rPr>
                        <w:t>度</w:t>
                      </w:r>
                    </w:p>
                  </w:txbxContent>
                </v:textbox>
                <w10:wrap type="square"/>
              </v:shape>
            </w:pict>
          </mc:Fallback>
        </mc:AlternateContent>
      </w:r>
    </w:p>
    <w:p w:rsidR="00412ACF" w:rsidRPr="00616D9C" w:rsidRDefault="00412ACF" w:rsidP="00412ACF">
      <w:pPr>
        <w:widowControl/>
        <w:spacing w:line="480" w:lineRule="exact"/>
        <w:rPr>
          <w:sz w:val="28"/>
          <w:szCs w:val="28"/>
        </w:rPr>
      </w:pPr>
      <w:r w:rsidRPr="00616D9C">
        <w:rPr>
          <w:noProof/>
          <w:sz w:val="28"/>
          <w:szCs w:val="28"/>
        </w:rPr>
        <mc:AlternateContent>
          <mc:Choice Requires="wps">
            <w:drawing>
              <wp:anchor distT="45720" distB="45720" distL="114300" distR="114300" simplePos="0" relativeHeight="251686912" behindDoc="0" locked="0" layoutInCell="1" allowOverlap="1" wp14:anchorId="65BA72C4" wp14:editId="3CD1C3A3">
                <wp:simplePos x="0" y="0"/>
                <wp:positionH relativeFrom="column">
                  <wp:posOffset>1105535</wp:posOffset>
                </wp:positionH>
                <wp:positionV relativeFrom="paragraph">
                  <wp:posOffset>211455</wp:posOffset>
                </wp:positionV>
                <wp:extent cx="1744980" cy="320040"/>
                <wp:effectExtent l="0" t="0" r="26670" b="2286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20040"/>
                        </a:xfrm>
                        <a:prstGeom prst="rect">
                          <a:avLst/>
                        </a:prstGeom>
                        <a:solidFill>
                          <a:srgbClr val="FFFFFF"/>
                        </a:solidFill>
                        <a:ln w="12700">
                          <a:solidFill>
                            <a:srgbClr val="C00000"/>
                          </a:solidFill>
                          <a:miter lim="800000"/>
                          <a:headEnd/>
                          <a:tailEnd/>
                        </a:ln>
                      </wps:spPr>
                      <wps:txbx>
                        <w:txbxContent>
                          <w:p w:rsidR="00412ACF" w:rsidRPr="00092B76" w:rsidRDefault="00412ACF" w:rsidP="00412ACF">
                            <w:pPr>
                              <w:rPr>
                                <w:b/>
                              </w:rPr>
                            </w:pPr>
                            <w:r w:rsidRPr="00092B76">
                              <w:rPr>
                                <w:rFonts w:hint="eastAsia"/>
                                <w:b/>
                              </w:rPr>
                              <w:t>報酬率標準差</w:t>
                            </w:r>
                            <w:r w:rsidRPr="00092B76">
                              <w:rPr>
                                <w:rFonts w:hint="eastAsia"/>
                                <w:b/>
                              </w:rPr>
                              <w:t>:</w:t>
                            </w:r>
                            <w:r w:rsidRPr="00092B76">
                              <w:rPr>
                                <w:b/>
                              </w:rPr>
                              <w:t xml:space="preserve"> 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A72C4" id="_x0000_s1030" type="#_x0000_t202" style="position:absolute;margin-left:87.05pt;margin-top:16.65pt;width:137.4pt;height:25.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" strokecolor="#c00000" strokeweight="1pt">
                <v:textbox>
                  <w:txbxContent>
                    <w:p w:rsidR="00412ACF" w:rsidRPr="00092B76" w:rsidRDefault="00412ACF" w:rsidP="00412ACF">
                      <w:pPr>
                        <w:rPr>
                          <w:b/>
                        </w:rPr>
                      </w:pPr>
                      <w:r w:rsidRPr="00092B76">
                        <w:rPr>
                          <w:rFonts w:hint="eastAsia"/>
                          <w:b/>
                        </w:rPr>
                        <w:t>報酬率標準差</w:t>
                      </w:r>
                      <w:r w:rsidRPr="00092B76">
                        <w:rPr>
                          <w:rFonts w:hint="eastAsia"/>
                          <w:b/>
                        </w:rPr>
                        <w:t>:</w:t>
                      </w:r>
                      <w:r w:rsidRPr="00092B76">
                        <w:rPr>
                          <w:b/>
                        </w:rPr>
                        <w:t xml:space="preserve"> 12.5%</w:t>
                      </w:r>
                    </w:p>
                  </w:txbxContent>
                </v:textbox>
                <w10:wrap type="square"/>
              </v:shape>
            </w:pict>
          </mc:Fallback>
        </mc:AlternateContent>
      </w: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sz w:val="28"/>
          <w:szCs w:val="28"/>
        </w:rPr>
      </w:pPr>
    </w:p>
    <w:p w:rsidR="00412ACF" w:rsidRPr="00616D9C" w:rsidRDefault="00412ACF" w:rsidP="00412ACF">
      <w:pPr>
        <w:widowControl/>
        <w:spacing w:line="480" w:lineRule="exact"/>
        <w:rPr>
          <w:rFonts w:cs="Arial"/>
          <w:b/>
          <w:bCs/>
          <w:color w:val="615E5A"/>
          <w:sz w:val="28"/>
          <w:szCs w:val="28"/>
        </w:rPr>
      </w:pPr>
    </w:p>
    <w:p w:rsidR="00412ACF" w:rsidRPr="00616D9C" w:rsidRDefault="00412ACF" w:rsidP="00412ACF">
      <w:pPr>
        <w:widowControl/>
        <w:spacing w:line="480" w:lineRule="exact"/>
        <w:jc w:val="center"/>
        <w:rPr>
          <w:rFonts w:cs="Arial"/>
          <w:b/>
          <w:bCs/>
          <w:color w:val="000000" w:themeColor="text1"/>
          <w:sz w:val="28"/>
          <w:szCs w:val="28"/>
        </w:rPr>
      </w:pPr>
      <w:r w:rsidRPr="00616D9C">
        <w:rPr>
          <w:rFonts w:cs="Arial"/>
          <w:b/>
          <w:bCs/>
          <w:color w:val="000000" w:themeColor="text1"/>
          <w:sz w:val="28"/>
          <w:szCs w:val="28"/>
        </w:rPr>
        <w:t>2006~2015</w:t>
      </w:r>
      <w:r w:rsidRPr="00616D9C">
        <w:rPr>
          <w:rFonts w:cs="Arial"/>
          <w:b/>
          <w:bCs/>
          <w:color w:val="000000" w:themeColor="text1"/>
          <w:sz w:val="28"/>
          <w:szCs w:val="28"/>
        </w:rPr>
        <w:t>逐年投資報酬</w:t>
      </w:r>
    </w:p>
    <w:tbl>
      <w:tblPr>
        <w:tblStyle w:val="af1"/>
        <w:tblW w:w="0" w:type="auto"/>
        <w:jc w:val="center"/>
        <w:tblLook w:val="04A0" w:firstRow="1" w:lastRow="0" w:firstColumn="1" w:lastColumn="0" w:noHBand="0" w:noVBand="1"/>
      </w:tblPr>
      <w:tblGrid>
        <w:gridCol w:w="2122"/>
        <w:gridCol w:w="3265"/>
      </w:tblGrid>
      <w:tr w:rsidR="00412ACF" w:rsidRPr="00616D9C" w:rsidTr="00026629">
        <w:trPr>
          <w:jc w:val="center"/>
        </w:trPr>
        <w:tc>
          <w:tcPr>
            <w:tcW w:w="2122" w:type="dxa"/>
            <w:tcBorders>
              <w:top w:val="single" w:sz="18" w:space="0" w:color="000000"/>
              <w:left w:val="single" w:sz="18" w:space="0" w:color="000000"/>
              <w:bottom w:val="double" w:sz="4"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cs="Arial"/>
                <w:b/>
                <w:bCs/>
                <w:color w:val="000000" w:themeColor="text1"/>
                <w:sz w:val="28"/>
                <w:szCs w:val="28"/>
              </w:rPr>
              <w:br w:type="page"/>
            </w:r>
            <w:r w:rsidRPr="00616D9C">
              <w:rPr>
                <w:rFonts w:cs="Arial"/>
                <w:b/>
                <w:bCs/>
                <w:color w:val="000000" w:themeColor="text1"/>
                <w:sz w:val="28"/>
                <w:szCs w:val="28"/>
              </w:rPr>
              <w:t>年份</w:t>
            </w:r>
          </w:p>
        </w:tc>
        <w:tc>
          <w:tcPr>
            <w:tcW w:w="3265" w:type="dxa"/>
            <w:tcBorders>
              <w:top w:val="single" w:sz="18" w:space="0" w:color="000000"/>
              <w:bottom w:val="double" w:sz="4" w:space="0" w:color="000000"/>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投資報酬率</w:t>
            </w:r>
            <w:r w:rsidRPr="00616D9C">
              <w:rPr>
                <w:rFonts w:eastAsia="新細明體" w:cs="Arial"/>
                <w:color w:val="000000" w:themeColor="text1"/>
                <w:kern w:val="36"/>
                <w:sz w:val="28"/>
                <w:szCs w:val="28"/>
              </w:rPr>
              <w:t xml:space="preserve"> %</w:t>
            </w:r>
          </w:p>
        </w:tc>
      </w:tr>
      <w:tr w:rsidR="00412ACF" w:rsidRPr="00616D9C" w:rsidTr="00026629">
        <w:trPr>
          <w:jc w:val="center"/>
        </w:trPr>
        <w:tc>
          <w:tcPr>
            <w:tcW w:w="2122" w:type="dxa"/>
            <w:tcBorders>
              <w:top w:val="double" w:sz="4" w:space="0" w:color="000000"/>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2006</w:t>
            </w:r>
          </w:p>
        </w:tc>
        <w:tc>
          <w:tcPr>
            <w:tcW w:w="3265" w:type="dxa"/>
            <w:tcBorders>
              <w:top w:val="double" w:sz="4" w:space="0" w:color="000000"/>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9" w:history="1">
              <w:r w:rsidRPr="00616D9C">
                <w:rPr>
                  <w:rStyle w:val="af2"/>
                  <w:rFonts w:eastAsia="新細明體" w:cs="Arial"/>
                  <w:color w:val="000000" w:themeColor="text1"/>
                  <w:kern w:val="36"/>
                  <w:sz w:val="28"/>
                  <w:szCs w:val="28"/>
                </w:rPr>
                <w:t>16.7</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2007</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0" w:history="1">
              <w:r w:rsidRPr="00616D9C">
                <w:rPr>
                  <w:rStyle w:val="af2"/>
                  <w:rFonts w:eastAsia="新細明體" w:cs="Arial"/>
                  <w:color w:val="000000" w:themeColor="text1"/>
                  <w:kern w:val="36"/>
                  <w:sz w:val="28"/>
                  <w:szCs w:val="28"/>
                </w:rPr>
                <w:t>23.0</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2008</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1" w:history="1">
              <w:r w:rsidRPr="00616D9C">
                <w:rPr>
                  <w:rStyle w:val="af2"/>
                  <w:rFonts w:eastAsia="新細明體" w:cs="Arial"/>
                  <w:color w:val="000000" w:themeColor="text1"/>
                  <w:kern w:val="36"/>
                  <w:sz w:val="28"/>
                  <w:szCs w:val="28"/>
                </w:rPr>
                <w:t>8.6</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2009</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2" w:history="1">
              <w:r w:rsidRPr="00616D9C">
                <w:rPr>
                  <w:rStyle w:val="af2"/>
                  <w:rFonts w:eastAsia="新細明體" w:cs="Arial"/>
                  <w:color w:val="000000" w:themeColor="text1"/>
                  <w:kern w:val="36"/>
                  <w:sz w:val="28"/>
                  <w:szCs w:val="28"/>
                </w:rPr>
                <w:t>- 27.3</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2010</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11.0</w:t>
            </w:r>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2011</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3" w:history="1">
              <w:r w:rsidRPr="00616D9C">
                <w:rPr>
                  <w:rStyle w:val="af2"/>
                  <w:rFonts w:eastAsia="新細明體" w:cs="Arial"/>
                  <w:color w:val="000000" w:themeColor="text1"/>
                  <w:kern w:val="36"/>
                  <w:sz w:val="28"/>
                  <w:szCs w:val="28"/>
                </w:rPr>
                <w:t>21.4</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2012</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4" w:history="1">
              <w:r w:rsidRPr="00616D9C">
                <w:rPr>
                  <w:rStyle w:val="af2"/>
                  <w:rFonts w:eastAsia="新細明體" w:cs="Arial"/>
                  <w:color w:val="000000" w:themeColor="text1"/>
                  <w:kern w:val="36"/>
                  <w:sz w:val="28"/>
                  <w:szCs w:val="28"/>
                </w:rPr>
                <w:t>-0.05</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2013</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5" w:history="1">
              <w:r w:rsidRPr="00616D9C">
                <w:rPr>
                  <w:rStyle w:val="af2"/>
                  <w:rFonts w:eastAsia="新細明體" w:cs="Arial"/>
                  <w:color w:val="000000" w:themeColor="text1"/>
                  <w:kern w:val="36"/>
                  <w:sz w:val="28"/>
                  <w:szCs w:val="28"/>
                </w:rPr>
                <w:t>11.3</w:t>
              </w:r>
            </w:hyperlink>
          </w:p>
        </w:tc>
      </w:tr>
      <w:tr w:rsidR="00412ACF" w:rsidRPr="00616D9C" w:rsidTr="00026629">
        <w:trPr>
          <w:jc w:val="center"/>
        </w:trPr>
        <w:tc>
          <w:tcPr>
            <w:tcW w:w="2122" w:type="dxa"/>
            <w:tcBorders>
              <w:lef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2014</w:t>
            </w:r>
          </w:p>
        </w:tc>
        <w:tc>
          <w:tcPr>
            <w:tcW w:w="3265" w:type="dxa"/>
            <w:tcBorders>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6" w:history="1">
              <w:r w:rsidRPr="00616D9C">
                <w:rPr>
                  <w:rStyle w:val="af2"/>
                  <w:rFonts w:eastAsia="新細明體" w:cs="Arial"/>
                  <w:color w:val="000000" w:themeColor="text1"/>
                  <w:kern w:val="36"/>
                  <w:sz w:val="28"/>
                  <w:szCs w:val="28"/>
                </w:rPr>
                <w:t>15.4</w:t>
              </w:r>
            </w:hyperlink>
          </w:p>
        </w:tc>
      </w:tr>
      <w:tr w:rsidR="00412ACF" w:rsidRPr="00616D9C" w:rsidTr="00026629">
        <w:trPr>
          <w:jc w:val="center"/>
        </w:trPr>
        <w:tc>
          <w:tcPr>
            <w:tcW w:w="2122" w:type="dxa"/>
            <w:tcBorders>
              <w:left w:val="single" w:sz="18" w:space="0" w:color="000000"/>
              <w:bottom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r w:rsidRPr="00616D9C">
              <w:rPr>
                <w:rFonts w:eastAsia="新細明體" w:cs="Arial"/>
                <w:color w:val="000000" w:themeColor="text1"/>
                <w:kern w:val="36"/>
                <w:sz w:val="28"/>
                <w:szCs w:val="28"/>
              </w:rPr>
              <w:t>2015</w:t>
            </w:r>
          </w:p>
        </w:tc>
        <w:tc>
          <w:tcPr>
            <w:tcW w:w="3265" w:type="dxa"/>
            <w:tcBorders>
              <w:bottom w:val="single" w:sz="18" w:space="0" w:color="000000"/>
              <w:right w:val="single" w:sz="18" w:space="0" w:color="000000"/>
            </w:tcBorders>
          </w:tcPr>
          <w:p w:rsidR="00412ACF" w:rsidRPr="00616D9C" w:rsidRDefault="00412ACF" w:rsidP="00026629">
            <w:pPr>
              <w:widowControl/>
              <w:spacing w:line="480" w:lineRule="exact"/>
              <w:jc w:val="center"/>
              <w:rPr>
                <w:rFonts w:eastAsia="新細明體" w:cs="Arial"/>
                <w:color w:val="000000" w:themeColor="text1"/>
                <w:kern w:val="36"/>
                <w:sz w:val="28"/>
                <w:szCs w:val="28"/>
              </w:rPr>
            </w:pPr>
            <w:hyperlink r:id="rId17" w:history="1">
              <w:r w:rsidRPr="00616D9C">
                <w:rPr>
                  <w:rStyle w:val="af2"/>
                  <w:rFonts w:eastAsia="新細明體" w:cs="Arial"/>
                  <w:color w:val="000000" w:themeColor="text1"/>
                  <w:kern w:val="36"/>
                  <w:sz w:val="28"/>
                  <w:szCs w:val="28"/>
                </w:rPr>
                <w:t>5.8</w:t>
              </w:r>
            </w:hyperlink>
          </w:p>
        </w:tc>
      </w:tr>
    </w:tbl>
    <w:p w:rsidR="00412ACF" w:rsidRDefault="00412ACF" w:rsidP="00412ACF">
      <w:pPr>
        <w:widowControl/>
        <w:spacing w:line="480" w:lineRule="exact"/>
        <w:rPr>
          <w:rFonts w:eastAsia="新細明體" w:cs="Arial"/>
          <w:color w:val="615E5A"/>
          <w:kern w:val="36"/>
          <w:sz w:val="28"/>
          <w:szCs w:val="28"/>
        </w:rPr>
      </w:pPr>
    </w:p>
    <w:p w:rsidR="00412ACF" w:rsidRDefault="00412ACF" w:rsidP="00412ACF">
      <w:r w:rsidRPr="004D0201">
        <w:rPr>
          <w:rFonts w:ascii="新細明體" w:eastAsia="新細明體" w:hAnsi="新細明體" w:cs="新細明體"/>
          <w:b/>
          <w:bCs/>
          <w:noProof/>
          <w:color w:val="3F3F41"/>
          <w:kern w:val="36"/>
          <w:sz w:val="39"/>
          <w:szCs w:val="39"/>
        </w:rPr>
        <mc:AlternateContent>
          <mc:Choice Requires="wps">
            <w:drawing>
              <wp:anchor distT="45720" distB="45720" distL="114300" distR="114300" simplePos="0" relativeHeight="251688960" behindDoc="0" locked="0" layoutInCell="1" allowOverlap="1" wp14:anchorId="7997030C" wp14:editId="315CDAB9">
                <wp:simplePos x="0" y="0"/>
                <wp:positionH relativeFrom="column">
                  <wp:posOffset>5936615</wp:posOffset>
                </wp:positionH>
                <wp:positionV relativeFrom="paragraph">
                  <wp:posOffset>130810</wp:posOffset>
                </wp:positionV>
                <wp:extent cx="333375" cy="1404620"/>
                <wp:effectExtent l="0" t="0" r="28575"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412ACF" w:rsidRPr="004D0201" w:rsidRDefault="00412ACF" w:rsidP="00412ACF">
                            <w:pPr>
                              <w:rPr>
                                <w:sz w:val="30"/>
                                <w:szCs w:val="30"/>
                              </w:rPr>
                            </w:pPr>
                            <w:r w:rsidRPr="004D0201">
                              <w:rPr>
                                <w:rFonts w:hint="eastAsia"/>
                                <w:sz w:val="30"/>
                                <w:szCs w:val="30"/>
                              </w:rPr>
                              <w:t>附</w:t>
                            </w:r>
                          </w:p>
                          <w:p w:rsidR="00412ACF" w:rsidRPr="004D0201" w:rsidRDefault="00412ACF" w:rsidP="00412ACF">
                            <w:pPr>
                              <w:rPr>
                                <w:sz w:val="30"/>
                                <w:szCs w:val="30"/>
                              </w:rPr>
                            </w:pPr>
                            <w:r w:rsidRPr="004D0201">
                              <w:rPr>
                                <w:rFonts w:hint="eastAsia"/>
                                <w:sz w:val="30"/>
                                <w:szCs w:val="30"/>
                              </w:rPr>
                              <w:t>件</w:t>
                            </w:r>
                          </w:p>
                          <w:p w:rsidR="00412ACF" w:rsidRPr="004D0201" w:rsidRDefault="00412ACF" w:rsidP="00412ACF">
                            <w:pPr>
                              <w:rPr>
                                <w:sz w:val="30"/>
                                <w:szCs w:val="30"/>
                              </w:rPr>
                            </w:pPr>
                            <w:r>
                              <w:rPr>
                                <w:rFonts w:hint="eastAsia"/>
                                <w:sz w:val="30"/>
                                <w:szCs w:val="30"/>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7030C" id="_x0000_s1031" type="#_x0000_t202" style="position:absolute;margin-left:467.45pt;margin-top:10.3pt;width:26.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">
                <v:textbox style="mso-fit-shape-to-text:t">
                  <w:txbxContent>
                    <w:p w:rsidR="00412ACF" w:rsidRPr="004D0201" w:rsidRDefault="00412ACF" w:rsidP="00412ACF">
                      <w:pPr>
                        <w:rPr>
                          <w:sz w:val="30"/>
                          <w:szCs w:val="30"/>
                        </w:rPr>
                      </w:pPr>
                      <w:r w:rsidRPr="004D0201">
                        <w:rPr>
                          <w:rFonts w:hint="eastAsia"/>
                          <w:sz w:val="30"/>
                          <w:szCs w:val="30"/>
                        </w:rPr>
                        <w:t>附</w:t>
                      </w:r>
                    </w:p>
                    <w:p w:rsidR="00412ACF" w:rsidRPr="004D0201" w:rsidRDefault="00412ACF" w:rsidP="00412ACF">
                      <w:pPr>
                        <w:rPr>
                          <w:sz w:val="30"/>
                          <w:szCs w:val="30"/>
                        </w:rPr>
                      </w:pPr>
                      <w:r w:rsidRPr="004D0201">
                        <w:rPr>
                          <w:rFonts w:hint="eastAsia"/>
                          <w:sz w:val="30"/>
                          <w:szCs w:val="30"/>
                        </w:rPr>
                        <w:t>件</w:t>
                      </w:r>
                    </w:p>
                    <w:p w:rsidR="00412ACF" w:rsidRPr="004D0201" w:rsidRDefault="00412ACF" w:rsidP="00412ACF">
                      <w:pPr>
                        <w:rPr>
                          <w:sz w:val="30"/>
                          <w:szCs w:val="30"/>
                        </w:rPr>
                      </w:pPr>
                      <w:r>
                        <w:rPr>
                          <w:rFonts w:hint="eastAsia"/>
                          <w:sz w:val="30"/>
                          <w:szCs w:val="30"/>
                        </w:rPr>
                        <w:t>二</w:t>
                      </w:r>
                    </w:p>
                  </w:txbxContent>
                </v:textbox>
                <w10:wrap type="square"/>
              </v:shape>
            </w:pict>
          </mc:Fallback>
        </mc:AlternateContent>
      </w:r>
      <w:bookmarkStart w:id="0" w:name="_GoBack"/>
      <w:r>
        <w:rPr>
          <w:noProof/>
        </w:rPr>
        <w:drawing>
          <wp:inline distT="0" distB="0" distL="0" distR="0" wp14:anchorId="4E634B05" wp14:editId="5241CD31">
            <wp:extent cx="5800725" cy="4048125"/>
            <wp:effectExtent l="0" t="0" r="9525"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0"/>
    </w:p>
    <w:tbl>
      <w:tblPr>
        <w:tblStyle w:val="13"/>
        <w:tblW w:w="9067" w:type="dxa"/>
        <w:tblLayout w:type="fixed"/>
        <w:tblLook w:val="04A0" w:firstRow="1" w:lastRow="0" w:firstColumn="1" w:lastColumn="0" w:noHBand="0" w:noVBand="1"/>
      </w:tblPr>
      <w:tblGrid>
        <w:gridCol w:w="1813"/>
        <w:gridCol w:w="1813"/>
        <w:gridCol w:w="1814"/>
        <w:gridCol w:w="1813"/>
        <w:gridCol w:w="1814"/>
      </w:tblGrid>
      <w:tr w:rsidR="00412ACF" w:rsidRPr="00C32CD5" w:rsidTr="00412AC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年度</w:t>
            </w:r>
          </w:p>
        </w:tc>
        <w:tc>
          <w:tcPr>
            <w:tcW w:w="1813" w:type="dxa"/>
            <w:noWrap/>
            <w:hideMark/>
          </w:tcPr>
          <w:p w:rsidR="00412ACF" w:rsidRPr="00412ACF" w:rsidRDefault="00412ACF" w:rsidP="00026629">
            <w:pPr>
              <w:widowControl/>
              <w:ind w:left="1392" w:hanging="792"/>
              <w:cnfStyle w:val="100000000000" w:firstRow="1"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勞保</w:t>
            </w:r>
          </w:p>
        </w:tc>
        <w:tc>
          <w:tcPr>
            <w:tcW w:w="1814" w:type="dxa"/>
            <w:noWrap/>
            <w:hideMark/>
          </w:tcPr>
          <w:p w:rsidR="00412ACF" w:rsidRPr="00412ACF" w:rsidRDefault="00412ACF" w:rsidP="00026629">
            <w:pPr>
              <w:widowControl/>
              <w:ind w:left="1392" w:hanging="792"/>
              <w:cnfStyle w:val="100000000000" w:firstRow="1"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勞退</w:t>
            </w:r>
          </w:p>
        </w:tc>
        <w:tc>
          <w:tcPr>
            <w:tcW w:w="1813" w:type="dxa"/>
            <w:noWrap/>
            <w:hideMark/>
          </w:tcPr>
          <w:p w:rsidR="00412ACF" w:rsidRPr="00412ACF" w:rsidRDefault="00412ACF" w:rsidP="00026629">
            <w:pPr>
              <w:widowControl/>
              <w:ind w:left="1392" w:hanging="792"/>
              <w:cnfStyle w:val="100000000000" w:firstRow="1"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公保</w:t>
            </w:r>
          </w:p>
        </w:tc>
        <w:tc>
          <w:tcPr>
            <w:tcW w:w="1814" w:type="dxa"/>
            <w:noWrap/>
            <w:hideMark/>
          </w:tcPr>
          <w:p w:rsidR="00412ACF" w:rsidRPr="00412ACF" w:rsidRDefault="00412ACF" w:rsidP="00026629">
            <w:pPr>
              <w:widowControl/>
              <w:ind w:left="1392" w:hanging="792"/>
              <w:cnfStyle w:val="100000000000" w:firstRow="1"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退撫</w:t>
            </w:r>
          </w:p>
        </w:tc>
      </w:tr>
      <w:tr w:rsidR="00412ACF" w:rsidRPr="00C32CD5" w:rsidTr="00412A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95</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7.91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1.62 </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5.67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10.93 </w:t>
            </w:r>
          </w:p>
        </w:tc>
      </w:tr>
      <w:tr w:rsidR="00412ACF" w:rsidRPr="00C32CD5" w:rsidTr="00412ACF">
        <w:trPr>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96</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5.78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0.42 </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6.84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4.91 </w:t>
            </w:r>
          </w:p>
        </w:tc>
      </w:tr>
      <w:tr w:rsidR="00412ACF" w:rsidRPr="00C32CD5" w:rsidTr="00412A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97</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-16.53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-6.05 </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-12.44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-22.33 </w:t>
            </w:r>
          </w:p>
        </w:tc>
      </w:tr>
      <w:tr w:rsidR="00412ACF" w:rsidRPr="00C32CD5" w:rsidTr="00412ACF">
        <w:trPr>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98</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18.21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11.83 </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15.23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19.49 </w:t>
            </w:r>
          </w:p>
        </w:tc>
      </w:tr>
      <w:tr w:rsidR="00412ACF" w:rsidRPr="00C32CD5" w:rsidTr="00412A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99</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3.96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1.54 </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2.61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3.60 </w:t>
            </w:r>
          </w:p>
        </w:tc>
      </w:tr>
      <w:tr w:rsidR="00412ACF" w:rsidRPr="00C32CD5" w:rsidTr="00412ACF">
        <w:trPr>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100</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-2.97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-3.94 </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-2.87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-5.98 </w:t>
            </w:r>
          </w:p>
        </w:tc>
      </w:tr>
      <w:tr w:rsidR="00412ACF" w:rsidRPr="00C32CD5" w:rsidTr="00412A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101</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6.25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5.01 </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4.72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6.17 </w:t>
            </w:r>
          </w:p>
        </w:tc>
      </w:tr>
      <w:tr w:rsidR="00412ACF" w:rsidRPr="00C32CD5" w:rsidTr="00412ACF">
        <w:trPr>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102</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6.35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5.67 </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6.02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8.30 </w:t>
            </w:r>
          </w:p>
        </w:tc>
      </w:tr>
      <w:tr w:rsidR="00412ACF" w:rsidRPr="00C32CD5" w:rsidTr="00412A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103</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5.61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6.38 </w:t>
            </w:r>
          </w:p>
        </w:tc>
        <w:tc>
          <w:tcPr>
            <w:tcW w:w="1813"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6.72 </w:t>
            </w:r>
          </w:p>
        </w:tc>
        <w:tc>
          <w:tcPr>
            <w:tcW w:w="1814" w:type="dxa"/>
            <w:noWrap/>
            <w:hideMark/>
          </w:tcPr>
          <w:p w:rsidR="00412ACF" w:rsidRPr="00412ACF" w:rsidRDefault="00412ACF" w:rsidP="00026629">
            <w:pPr>
              <w:widowControl/>
              <w:ind w:left="1392" w:hanging="792"/>
              <w:cnfStyle w:val="000000100000" w:firstRow="0" w:lastRow="0" w:firstColumn="0" w:lastColumn="0" w:oddVBand="0" w:evenVBand="0" w:oddHBand="1"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6.50 </w:t>
            </w:r>
          </w:p>
        </w:tc>
      </w:tr>
      <w:tr w:rsidR="00412ACF" w:rsidRPr="00C32CD5" w:rsidTr="00412ACF">
        <w:trPr>
          <w:trHeight w:val="510"/>
        </w:trPr>
        <w:tc>
          <w:tcPr>
            <w:cnfStyle w:val="001000000000" w:firstRow="0" w:lastRow="0" w:firstColumn="1" w:lastColumn="0" w:oddVBand="0" w:evenVBand="0" w:oddHBand="0" w:evenHBand="0" w:firstRowFirstColumn="0" w:firstRowLastColumn="0" w:lastRowFirstColumn="0" w:lastRowLastColumn="0"/>
            <w:tcW w:w="1813" w:type="dxa"/>
            <w:noWrap/>
            <w:hideMark/>
          </w:tcPr>
          <w:p w:rsidR="00412ACF" w:rsidRPr="00412ACF" w:rsidRDefault="00412ACF" w:rsidP="00026629">
            <w:pPr>
              <w:widowControl/>
              <w:ind w:left="1392" w:hanging="792"/>
              <w:rPr>
                <w:rFonts w:eastAsiaTheme="majorEastAsia" w:cs="新細明體"/>
                <w:color w:val="000000"/>
                <w:kern w:val="0"/>
                <w:sz w:val="26"/>
                <w:szCs w:val="26"/>
              </w:rPr>
            </w:pPr>
            <w:r w:rsidRPr="00412ACF">
              <w:rPr>
                <w:rFonts w:eastAsiaTheme="majorEastAsia" w:cs="新細明體"/>
                <w:color w:val="000000"/>
                <w:kern w:val="0"/>
                <w:sz w:val="26"/>
                <w:szCs w:val="26"/>
              </w:rPr>
              <w:t>104</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-0.55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-0.09 </w:t>
            </w:r>
          </w:p>
        </w:tc>
        <w:tc>
          <w:tcPr>
            <w:tcW w:w="1813"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0.37 </w:t>
            </w:r>
          </w:p>
        </w:tc>
        <w:tc>
          <w:tcPr>
            <w:tcW w:w="1814" w:type="dxa"/>
            <w:noWrap/>
            <w:hideMark/>
          </w:tcPr>
          <w:p w:rsidR="00412ACF" w:rsidRPr="00412ACF" w:rsidRDefault="00412ACF" w:rsidP="00026629">
            <w:pPr>
              <w:widowControl/>
              <w:ind w:left="1392" w:hanging="792"/>
              <w:cnfStyle w:val="000000000000" w:firstRow="0" w:lastRow="0" w:firstColumn="0" w:lastColumn="0" w:oddVBand="0" w:evenVBand="0" w:oddHBand="0" w:evenHBand="0" w:firstRowFirstColumn="0" w:firstRowLastColumn="0" w:lastRowFirstColumn="0" w:lastRowLastColumn="0"/>
              <w:rPr>
                <w:rFonts w:eastAsiaTheme="majorEastAsia" w:cs="新細明體"/>
                <w:color w:val="000000"/>
                <w:kern w:val="0"/>
                <w:sz w:val="26"/>
                <w:szCs w:val="26"/>
              </w:rPr>
            </w:pPr>
            <w:r w:rsidRPr="00412ACF">
              <w:rPr>
                <w:rFonts w:eastAsiaTheme="majorEastAsia" w:cs="新細明體"/>
                <w:color w:val="000000"/>
                <w:kern w:val="0"/>
                <w:sz w:val="26"/>
                <w:szCs w:val="26"/>
              </w:rPr>
              <w:t xml:space="preserve">-1.94 </w:t>
            </w:r>
          </w:p>
        </w:tc>
      </w:tr>
    </w:tbl>
    <w:p w:rsidR="00412ACF" w:rsidRPr="00BF5B10" w:rsidRDefault="00412ACF" w:rsidP="00412ACF">
      <w:pPr>
        <w:rPr>
          <w:rFonts w:hint="eastAsia"/>
        </w:rPr>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412ACF" w:rsidP="00E14273">
      <w:pPr>
        <w:snapToGrid w:val="0"/>
      </w:pPr>
    </w:p>
    <w:p w:rsidR="00412ACF" w:rsidRDefault="00E14273" w:rsidP="00412ACF">
      <w:pPr>
        <w:snapToGrid w:val="0"/>
        <w:rPr>
          <w:rFonts w:ascii="新細明體" w:eastAsia="新細明體" w:hAnsi="新細明體"/>
          <w:b/>
          <w:sz w:val="30"/>
          <w:szCs w:val="30"/>
          <w:u w:val="single"/>
        </w:rPr>
      </w:pPr>
      <w:r w:rsidRPr="004D0201">
        <w:rPr>
          <w:rFonts w:ascii="新細明體" w:eastAsia="新細明體" w:hAnsi="新細明體" w:cs="新細明體"/>
          <w:b/>
          <w:bCs/>
          <w:noProof/>
          <w:color w:val="3F3F41"/>
          <w:kern w:val="36"/>
          <w:sz w:val="39"/>
          <w:szCs w:val="39"/>
        </w:rPr>
        <w:lastRenderedPageBreak/>
        <mc:AlternateContent>
          <mc:Choice Requires="wps">
            <w:drawing>
              <wp:anchor distT="45720" distB="45720" distL="114300" distR="114300" simplePos="0" relativeHeight="251671552" behindDoc="0" locked="0" layoutInCell="1" allowOverlap="1" wp14:anchorId="6CB32FBC" wp14:editId="313B29D9">
                <wp:simplePos x="0" y="0"/>
                <wp:positionH relativeFrom="rightMargin">
                  <wp:align>left</wp:align>
                </wp:positionH>
                <wp:positionV relativeFrom="paragraph">
                  <wp:posOffset>35560</wp:posOffset>
                </wp:positionV>
                <wp:extent cx="33337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E14273" w:rsidRPr="004D0201" w:rsidRDefault="00E14273" w:rsidP="00E14273">
                            <w:pPr>
                              <w:rPr>
                                <w:sz w:val="30"/>
                                <w:szCs w:val="30"/>
                              </w:rPr>
                            </w:pPr>
                            <w:r w:rsidRPr="004D0201">
                              <w:rPr>
                                <w:rFonts w:hint="eastAsia"/>
                                <w:sz w:val="30"/>
                                <w:szCs w:val="30"/>
                              </w:rPr>
                              <w:t>附</w:t>
                            </w:r>
                          </w:p>
                          <w:p w:rsidR="00E14273" w:rsidRPr="004D0201" w:rsidRDefault="00E14273" w:rsidP="00E14273">
                            <w:pPr>
                              <w:rPr>
                                <w:sz w:val="30"/>
                                <w:szCs w:val="30"/>
                              </w:rPr>
                            </w:pPr>
                            <w:r w:rsidRPr="004D0201">
                              <w:rPr>
                                <w:rFonts w:hint="eastAsia"/>
                                <w:sz w:val="30"/>
                                <w:szCs w:val="30"/>
                              </w:rPr>
                              <w:t>件</w:t>
                            </w:r>
                          </w:p>
                          <w:p w:rsidR="00E14273" w:rsidRPr="004D0201" w:rsidRDefault="00412ACF" w:rsidP="00E14273">
                            <w:pPr>
                              <w:rPr>
                                <w:sz w:val="30"/>
                                <w:szCs w:val="30"/>
                              </w:rPr>
                            </w:pPr>
                            <w:proofErr w:type="gramStart"/>
                            <w:r>
                              <w:rPr>
                                <w:rFonts w:hint="eastAsia"/>
                                <w:sz w:val="30"/>
                                <w:szCs w:val="30"/>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32FBC" id="_x0000_s1032" type="#_x0000_t202" style="position:absolute;margin-left:0;margin-top:2.8pt;width:26.25pt;height:110.6pt;z-index:25167155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">
                <v:textbox style="mso-fit-shape-to-text:t">
                  <w:txbxContent>
                    <w:p w:rsidR="00E14273" w:rsidRPr="004D0201" w:rsidRDefault="00E14273" w:rsidP="00E14273">
                      <w:pPr>
                        <w:rPr>
                          <w:sz w:val="30"/>
                          <w:szCs w:val="30"/>
                        </w:rPr>
                      </w:pPr>
                      <w:r w:rsidRPr="004D0201">
                        <w:rPr>
                          <w:rFonts w:hint="eastAsia"/>
                          <w:sz w:val="30"/>
                          <w:szCs w:val="30"/>
                        </w:rPr>
                        <w:t>附</w:t>
                      </w:r>
                    </w:p>
                    <w:p w:rsidR="00E14273" w:rsidRPr="004D0201" w:rsidRDefault="00E14273" w:rsidP="00E14273">
                      <w:pPr>
                        <w:rPr>
                          <w:sz w:val="30"/>
                          <w:szCs w:val="30"/>
                        </w:rPr>
                      </w:pPr>
                      <w:r w:rsidRPr="004D0201">
                        <w:rPr>
                          <w:rFonts w:hint="eastAsia"/>
                          <w:sz w:val="30"/>
                          <w:szCs w:val="30"/>
                        </w:rPr>
                        <w:t>件</w:t>
                      </w:r>
                    </w:p>
                    <w:p w:rsidR="00E14273" w:rsidRPr="004D0201" w:rsidRDefault="00412ACF" w:rsidP="00E14273">
                      <w:pPr>
                        <w:rPr>
                          <w:sz w:val="30"/>
                          <w:szCs w:val="30"/>
                        </w:rPr>
                      </w:pPr>
                      <w:proofErr w:type="gramStart"/>
                      <w:r>
                        <w:rPr>
                          <w:rFonts w:hint="eastAsia"/>
                          <w:sz w:val="30"/>
                          <w:szCs w:val="30"/>
                        </w:rPr>
                        <w:t>三</w:t>
                      </w:r>
                      <w:proofErr w:type="gramEnd"/>
                    </w:p>
                  </w:txbxContent>
                </v:textbox>
                <w10:wrap type="square" anchorx="margin"/>
              </v:shape>
            </w:pict>
          </mc:Fallback>
        </mc:AlternateContent>
      </w:r>
    </w:p>
    <w:p w:rsidR="00BF5B10" w:rsidRPr="006B2958" w:rsidRDefault="006B2958" w:rsidP="006B2958">
      <w:pPr>
        <w:pStyle w:val="a4"/>
        <w:ind w:leftChars="54" w:left="130" w:firstLineChars="0" w:firstLine="0"/>
        <w:jc w:val="center"/>
        <w:rPr>
          <w:rFonts w:ascii="新細明體" w:eastAsia="新細明體" w:hAnsi="新細明體"/>
          <w:b/>
          <w:sz w:val="30"/>
          <w:szCs w:val="30"/>
          <w:u w:val="single"/>
        </w:rPr>
      </w:pPr>
      <w:r w:rsidRPr="006B2958">
        <w:rPr>
          <w:rFonts w:ascii="新細明體" w:eastAsia="新細明體" w:hAnsi="新細明體" w:hint="eastAsia"/>
          <w:b/>
          <w:sz w:val="30"/>
          <w:szCs w:val="30"/>
          <w:u w:val="single"/>
        </w:rPr>
        <w:t>公務人員退休撫卹基金管理條例修正草案</w:t>
      </w:r>
    </w:p>
    <w:p w:rsidR="006B2958" w:rsidRPr="006B2958" w:rsidRDefault="006B2958" w:rsidP="006B2958"/>
    <w:p w:rsidR="00BF5B10" w:rsidRDefault="00BF5B10" w:rsidP="006B2958">
      <w:pPr>
        <w:pStyle w:val="a4"/>
        <w:ind w:leftChars="0" w:left="0" w:firstLineChars="0" w:firstLine="0"/>
        <w:rPr>
          <w:rFonts w:ascii="新細明體" w:eastAsia="新細明體" w:hAnsi="新細明體"/>
          <w:sz w:val="26"/>
          <w:szCs w:val="26"/>
        </w:rPr>
      </w:pPr>
      <w:r>
        <w:rPr>
          <w:rFonts w:ascii="新細明體" w:eastAsia="新細明體" w:hAnsi="新細明體" w:hint="eastAsia"/>
          <w:sz w:val="26"/>
          <w:szCs w:val="26"/>
        </w:rPr>
        <w:t>案由：為整合軍公教退休撫卹基金之運作及監督，以強化基金運作效能，特提出「公務人員退休撫卹基金管理條例修正草案」，是否有當，敬請公決</w:t>
      </w:r>
    </w:p>
    <w:p w:rsidR="00BF5B10" w:rsidRDefault="00BF5B10" w:rsidP="00BF5B10">
      <w:pPr>
        <w:pStyle w:val="a4"/>
        <w:ind w:left="1397" w:hanging="795"/>
        <w:rPr>
          <w:rFonts w:ascii="新細明體" w:eastAsia="新細明體" w:hAnsi="新細明體"/>
          <w:sz w:val="26"/>
          <w:szCs w:val="26"/>
        </w:rPr>
      </w:pP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說明：我國公部門受雇者（軍、公、教、政）自民國八十四年起陸續建立退撫基金，並採身份別分戶立帳，唯因經驗不足，組織分立為管理與監理，二十幾年來績效欠佳，迭為外界所詬病，亟需參考國內外退休基金之營運，以期維護基金參加人暨各級政府之權益。修正重點如下：</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一、將監理、管理工作合併在一個組織下，以免組織並立、延宕時機（草案第二條）。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二、對基金來源，根據二十多年來實務補充增訂（草案第三條）。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三、將基金收繳之規定，由施行細則提昇到法律條文（草案第四條至第五條）。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四、增訂收支平衡準備，以利與國庫撥補相互衡平（草案第七條）。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五、規定中央政府應定期檢討處理潛藏負債，以維護年輕世代對退撫基金的信賴（草案第十條）。</w:t>
      </w:r>
    </w:p>
    <w:p w:rsidR="00BF5B10" w:rsidRDefault="00BF5B10" w:rsidP="00BF5B10">
      <w:pPr>
        <w:pStyle w:val="a6"/>
        <w:ind w:left="763" w:hanging="522"/>
        <w:rPr>
          <w:rFonts w:ascii="新細明體" w:eastAsia="新細明體" w:hAnsi="新細明體"/>
          <w:sz w:val="26"/>
          <w:szCs w:val="26"/>
        </w:rPr>
      </w:pPr>
      <w:r>
        <w:rPr>
          <w:rFonts w:ascii="新細明體" w:eastAsia="新細明體" w:hAnsi="新細明體" w:hint="eastAsia"/>
          <w:sz w:val="26"/>
          <w:szCs w:val="26"/>
        </w:rPr>
        <w:t>六、規定基金運用績效及投資標的、買賣紀錄之自動公布時程，以資取信（草案第十條）。</w:t>
      </w:r>
    </w:p>
    <w:p w:rsidR="006B2958" w:rsidRDefault="006B2958" w:rsidP="00BF5B10">
      <w:pPr>
        <w:rPr>
          <w:rFonts w:ascii="Times New Roman" w:eastAsia="華康細明體" w:hAnsi="Times New Roman"/>
          <w:sz w:val="21"/>
          <w:szCs w:val="24"/>
        </w:rPr>
      </w:pPr>
    </w:p>
    <w:p w:rsidR="006B2958" w:rsidRDefault="006B2958" w:rsidP="00BF5B10">
      <w:pPr>
        <w:rPr>
          <w:rFonts w:ascii="Times New Roman" w:eastAsia="華康細明體" w:hAnsi="Times New Roman"/>
          <w:sz w:val="21"/>
          <w:szCs w:val="24"/>
        </w:rPr>
      </w:pPr>
    </w:p>
    <w:p w:rsidR="006B2958" w:rsidRDefault="006B2958" w:rsidP="00BF5B10">
      <w:pPr>
        <w:rPr>
          <w:rFonts w:ascii="Times New Roman" w:eastAsia="華康細明體" w:hAnsi="Times New Roman"/>
          <w:sz w:val="21"/>
          <w:szCs w:val="24"/>
        </w:rPr>
      </w:pPr>
    </w:p>
    <w:p w:rsidR="00BF5B10" w:rsidRDefault="00BF5B10" w:rsidP="00BF5B10"/>
    <w:p w:rsidR="00CA6EE9" w:rsidRDefault="00CA6EE9" w:rsidP="00CA6EE9">
      <w:pPr>
        <w:jc w:val="center"/>
        <w:rPr>
          <w:rFonts w:ascii="新細明體" w:eastAsia="新細明體" w:hAnsi="新細明體"/>
          <w:sz w:val="26"/>
          <w:szCs w:val="26"/>
        </w:rPr>
      </w:pPr>
    </w:p>
    <w:p w:rsidR="00CA6EE9" w:rsidRDefault="00CA6EE9" w:rsidP="00CA6EE9">
      <w:pPr>
        <w:jc w:val="center"/>
        <w:rPr>
          <w:rFonts w:ascii="新細明體" w:eastAsia="新細明體" w:hAnsi="新細明體"/>
          <w:sz w:val="26"/>
          <w:szCs w:val="26"/>
        </w:rPr>
      </w:pPr>
    </w:p>
    <w:p w:rsidR="00CA6EE9" w:rsidRDefault="00CA6EE9" w:rsidP="00CA6EE9">
      <w:pPr>
        <w:jc w:val="center"/>
        <w:rPr>
          <w:rFonts w:ascii="新細明體" w:eastAsia="新細明體" w:hAnsi="新細明體"/>
          <w:sz w:val="26"/>
          <w:szCs w:val="26"/>
        </w:rPr>
      </w:pPr>
    </w:p>
    <w:p w:rsidR="00BF5B10" w:rsidRDefault="00BF5B10" w:rsidP="00CA6EE9">
      <w:pPr>
        <w:jc w:val="center"/>
        <w:rPr>
          <w:rFonts w:ascii="新細明體" w:eastAsia="新細明體" w:hAnsi="新細明體"/>
          <w:sz w:val="26"/>
          <w:szCs w:val="26"/>
        </w:rPr>
        <w:sectPr w:rsidR="00BF5B10">
          <w:headerReference w:type="default" r:id="rId19"/>
          <w:footerReference w:type="default" r:id="rId20"/>
          <w:pgSz w:w="11906" w:h="16838"/>
          <w:pgMar w:top="1984" w:right="1417" w:bottom="1417" w:left="1417" w:header="1417" w:footer="850" w:gutter="0"/>
          <w:cols w:space="720"/>
          <w:docGrid w:type="linesAndChars" w:linePitch="335" w:charSpace="200"/>
        </w:sect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基金管理條例修正草案對照表</w:t>
      </w:r>
      <w:r w:rsidR="00CA6EE9">
        <w:rPr>
          <w:rFonts w:ascii="新細明體" w:eastAsia="新細明體" w:hAnsi="新細明體" w:hint="eastAsia"/>
          <w:sz w:val="26"/>
          <w:szCs w:val="26"/>
        </w:rPr>
        <w:t>如後頁</w:t>
      </w:r>
    </w:p>
    <w:tbl>
      <w:tblPr>
        <w:tblStyle w:val="af1"/>
        <w:tblW w:w="0" w:type="auto"/>
        <w:tblLook w:val="04A0" w:firstRow="1" w:lastRow="0" w:firstColumn="1" w:lastColumn="0" w:noHBand="0" w:noVBand="1"/>
      </w:tblPr>
      <w:tblGrid>
        <w:gridCol w:w="3022"/>
        <w:gridCol w:w="3021"/>
        <w:gridCol w:w="3019"/>
      </w:tblGrid>
      <w:tr w:rsidR="00BF5B10" w:rsidTr="00B807BF">
        <w:trPr>
          <w:tblHeader/>
        </w:trPr>
        <w:tc>
          <w:tcPr>
            <w:tcW w:w="3022" w:type="dxa"/>
            <w:hideMark/>
          </w:tcPr>
          <w:p w:rsidR="00BF5B10" w:rsidRDefault="00E14273" w:rsidP="00E14273">
            <w:pPr>
              <w:pStyle w:val="a5"/>
              <w:ind w:left="120" w:right="120"/>
              <w:rPr>
                <w:rFonts w:ascii="新細明體" w:eastAsia="新細明體" w:hAnsi="新細明體"/>
                <w:sz w:val="26"/>
                <w:szCs w:val="26"/>
              </w:rPr>
            </w:pPr>
            <w:r>
              <w:rPr>
                <w:rFonts w:ascii="新細明體" w:eastAsia="新細明體" w:hAnsi="新細明體" w:hint="eastAsia"/>
                <w:sz w:val="26"/>
                <w:szCs w:val="26"/>
              </w:rPr>
              <w:lastRenderedPageBreak/>
              <w:t>修正條文</w:t>
            </w:r>
          </w:p>
        </w:tc>
        <w:tc>
          <w:tcPr>
            <w:tcW w:w="3021" w:type="dxa"/>
            <w:hideMark/>
          </w:tcPr>
          <w:p w:rsidR="00BF5B10" w:rsidRDefault="00BF5B10" w:rsidP="00E14273">
            <w:pPr>
              <w:pStyle w:val="a5"/>
              <w:ind w:left="120" w:right="120"/>
              <w:rPr>
                <w:rFonts w:ascii="新細明體" w:eastAsia="新細明體" w:hAnsi="新細明體"/>
                <w:sz w:val="26"/>
                <w:szCs w:val="26"/>
              </w:rPr>
            </w:pPr>
            <w:r>
              <w:rPr>
                <w:rFonts w:ascii="新細明體" w:eastAsia="新細明體" w:hAnsi="新細明體" w:hint="eastAsia"/>
                <w:sz w:val="26"/>
                <w:szCs w:val="26"/>
              </w:rPr>
              <w:t>現行</w:t>
            </w:r>
            <w:r w:rsidR="00E14273">
              <w:rPr>
                <w:rFonts w:ascii="新細明體" w:eastAsia="新細明體" w:hAnsi="新細明體" w:hint="eastAsia"/>
                <w:sz w:val="26"/>
                <w:szCs w:val="26"/>
              </w:rPr>
              <w:t>條文</w:t>
            </w:r>
          </w:p>
        </w:tc>
        <w:tc>
          <w:tcPr>
            <w:tcW w:w="3019" w:type="dxa"/>
            <w:hideMark/>
          </w:tcPr>
          <w:p w:rsidR="00BF5B10" w:rsidRDefault="00BF5B10">
            <w:pPr>
              <w:pStyle w:val="a5"/>
              <w:ind w:left="120" w:right="120"/>
              <w:rPr>
                <w:rFonts w:ascii="新細明體" w:eastAsia="新細明體" w:hAnsi="新細明體"/>
                <w:sz w:val="26"/>
                <w:szCs w:val="26"/>
              </w:rPr>
            </w:pPr>
            <w:r>
              <w:rPr>
                <w:rFonts w:ascii="新細明體" w:eastAsia="新細明體" w:hAnsi="新細明體" w:hint="eastAsia"/>
                <w:sz w:val="26"/>
                <w:szCs w:val="26"/>
              </w:rPr>
              <w:t>說明</w:t>
            </w:r>
          </w:p>
        </w:tc>
      </w:tr>
      <w:tr w:rsidR="00BF5B10" w:rsidTr="00B807BF">
        <w:tc>
          <w:tcPr>
            <w:tcW w:w="3022"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r>
              <w:rPr>
                <w:rFonts w:ascii="新細明體" w:eastAsia="新細明體" w:hAnsi="新細明體" w:hint="eastAsia"/>
                <w:sz w:val="26"/>
                <w:szCs w:val="26"/>
                <w:u w:val="single"/>
              </w:rPr>
              <w:t>監督</w:t>
            </w:r>
            <w:r>
              <w:rPr>
                <w:rFonts w:ascii="新細明體" w:eastAsia="新細明體" w:hAnsi="新細明體" w:hint="eastAsia"/>
                <w:sz w:val="26"/>
                <w:szCs w:val="26"/>
              </w:rPr>
              <w:t>管理條例</w:t>
            </w:r>
          </w:p>
        </w:tc>
        <w:tc>
          <w:tcPr>
            <w:tcW w:w="3021"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變更條例名稱。</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為辦理公務人員退休撫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基金（以下簡稱本基金）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、管理、運用及監督等事項</w:t>
            </w:r>
            <w:r>
              <w:rPr>
                <w:rFonts w:ascii="新細明體" w:eastAsia="新細明體" w:hAnsi="新細明體" w:hint="eastAsia"/>
                <w:sz w:val="26"/>
                <w:szCs w:val="26"/>
              </w:rPr>
              <w:t>，依公務人員退休法第八條第六項及公務人員撫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法第十五條第三項規定，制定之。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公立學校教職員</w:t>
            </w:r>
            <w:r>
              <w:rPr>
                <w:rFonts w:ascii="新細明體" w:eastAsia="新細明體" w:hAnsi="新細明體" w:hint="eastAsia"/>
                <w:sz w:val="26"/>
                <w:szCs w:val="26"/>
              </w:rPr>
              <w:t>及軍職人員之退休（職）、（伍）撫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基金，併入本基金管理並</w:t>
            </w:r>
            <w:r>
              <w:rPr>
                <w:rFonts w:ascii="新細明體" w:eastAsia="新細明體" w:hAnsi="新細明體" w:hint="eastAsia"/>
                <w:sz w:val="26"/>
                <w:szCs w:val="26"/>
                <w:u w:val="single"/>
              </w:rPr>
              <w:t>監督之。</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為辦理公務人員退休撫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基金（以下簡稱本基金）之收支、管理及運用等事項，依公務人員退休法第八條第六項及公務人員撫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法第十五條第三項規定，制定本條例。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政務官、教育人員及軍職人員之退休（職）、（伍）撫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基金一併納入本基金管理。</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將政務人員回歸政務人員退職撫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教育人員定義為公立學校教師暨研究機構之研究人員。</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為使基金運作符合時效並檢討與各公共基金的管理監督機制，茲參考韓國年金團及我國勞退基金監督管理委員會之運作，將兩會合併。</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（監理會任務及組織條例法源）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基金監理委員會，負責辦理本基金</w:t>
            </w:r>
            <w:proofErr w:type="gramStart"/>
            <w:r>
              <w:rPr>
                <w:rFonts w:ascii="新細明體" w:eastAsia="新細明體" w:hAnsi="新細明體" w:hint="eastAsia"/>
                <w:sz w:val="26"/>
                <w:szCs w:val="26"/>
              </w:rPr>
              <w:t>之</w:t>
            </w:r>
            <w:r>
              <w:rPr>
                <w:rFonts w:ascii="新細明體" w:eastAsia="新細明體" w:hAnsi="新細明體" w:hint="eastAsia"/>
                <w:sz w:val="26"/>
                <w:szCs w:val="26"/>
                <w:u w:val="single"/>
              </w:rPr>
              <w:t>撥繳</w:t>
            </w:r>
            <w:proofErr w:type="gramEnd"/>
            <w:r>
              <w:rPr>
                <w:rFonts w:ascii="新細明體" w:eastAsia="新細明體" w:hAnsi="新細明體" w:hint="eastAsia"/>
                <w:sz w:val="26"/>
                <w:szCs w:val="26"/>
                <w:u w:val="single"/>
              </w:rPr>
              <w:t>、管理、運用及監督</w:t>
            </w:r>
            <w:r>
              <w:rPr>
                <w:rFonts w:ascii="新細明體" w:eastAsia="新細明體" w:hAnsi="新細明體" w:hint="eastAsia"/>
                <w:sz w:val="26"/>
                <w:szCs w:val="26"/>
              </w:rPr>
              <w:t>事項。</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委員會之組織條例，另以法律定之。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本基金管理委員會之組織條例自民國○年○月○日起廢止，其原有人員、設備、資產納入監理委員會；原管理委員會對外合約權利義務自同日起由監理委員會</w:t>
            </w:r>
            <w:r>
              <w:rPr>
                <w:rFonts w:ascii="新細明體" w:eastAsia="新細明體" w:hAnsi="新細明體" w:hint="eastAsia"/>
                <w:sz w:val="26"/>
                <w:szCs w:val="26"/>
              </w:rPr>
              <w:t>（以下簡稱委員</w:t>
            </w:r>
            <w:r>
              <w:rPr>
                <w:rFonts w:ascii="新細明體" w:eastAsia="新細明體" w:hAnsi="新細明體" w:hint="eastAsia"/>
                <w:sz w:val="26"/>
                <w:szCs w:val="26"/>
              </w:rPr>
              <w:lastRenderedPageBreak/>
              <w:t>會）</w:t>
            </w:r>
            <w:r>
              <w:rPr>
                <w:rFonts w:ascii="新細明體" w:eastAsia="新細明體" w:hAnsi="新細明體" w:hint="eastAsia"/>
                <w:sz w:val="26"/>
                <w:szCs w:val="26"/>
                <w:u w:val="single"/>
              </w:rPr>
              <w:t>概括承受。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本基金之運用得委託經營之。有關委託經營辦法由考試院會同行政院以命令定之。</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第二條　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基金管理委員會負責基金之收支、管理及運用。</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本基金設公務人員退休撫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基金監理委員會負責基金之審議、監督及考核。</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本基金管理委員會及監理委員會之</w:t>
            </w:r>
            <w:proofErr w:type="gramStart"/>
            <w:r>
              <w:rPr>
                <w:rFonts w:ascii="新細明體" w:eastAsia="新細明體" w:hAnsi="新細明體" w:hint="eastAsia"/>
                <w:sz w:val="26"/>
                <w:szCs w:val="26"/>
              </w:rPr>
              <w:t>組織均另以</w:t>
            </w:r>
            <w:proofErr w:type="gramEnd"/>
            <w:r>
              <w:rPr>
                <w:rFonts w:ascii="新細明體" w:eastAsia="新細明體" w:hAnsi="新細明體" w:hint="eastAsia"/>
                <w:sz w:val="26"/>
                <w:szCs w:val="26"/>
              </w:rPr>
              <w:t>法律定之。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本基金之運用得委託經營之。有關委託經營辦法由考試院會同行政院以命令定之。</w:t>
            </w:r>
          </w:p>
        </w:tc>
        <w:tc>
          <w:tcPr>
            <w:tcW w:w="3019"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一、將原來之「公務人員退休撫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基金管理委員會」及「公務人員退休撫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基金監理委員會」，二者合併為監理委員會。</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二、依據學校教職員退休條例第八條第七項、學校教職員撫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法第十六條第三項、公務人員退休法第八條第六項及公務人員撫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法第十五條第三項規定，訂定本監理會「</w:t>
            </w:r>
            <w:proofErr w:type="gramStart"/>
            <w:r>
              <w:rPr>
                <w:rFonts w:ascii="新細明體" w:eastAsia="新細明體" w:hAnsi="新細明體" w:hint="eastAsia"/>
                <w:sz w:val="26"/>
                <w:szCs w:val="26"/>
              </w:rPr>
              <w:t>撥繳</w:t>
            </w:r>
            <w:proofErr w:type="gramEnd"/>
            <w:r>
              <w:rPr>
                <w:rFonts w:ascii="新細明體" w:eastAsia="新細明體" w:hAnsi="新細明體" w:hint="eastAsia"/>
                <w:sz w:val="26"/>
                <w:szCs w:val="26"/>
              </w:rPr>
              <w:t>、管理、運用及監督」事項。</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第三條　（基金來源）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本基金之來源如下：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一、各級政府或參加本基金人員服務機關（構）、學校</w:t>
            </w:r>
            <w:proofErr w:type="gramStart"/>
            <w:r>
              <w:rPr>
                <w:rFonts w:ascii="新細明體" w:eastAsia="新細明體" w:hAnsi="新細明體" w:hint="eastAsia"/>
                <w:sz w:val="26"/>
                <w:szCs w:val="26"/>
                <w:u w:val="single"/>
              </w:rPr>
              <w:t>依法撥繳之</w:t>
            </w:r>
            <w:proofErr w:type="gramEnd"/>
            <w:r>
              <w:rPr>
                <w:rFonts w:ascii="新細明體" w:eastAsia="新細明體" w:hAnsi="新細明體" w:hint="eastAsia"/>
                <w:sz w:val="26"/>
                <w:szCs w:val="26"/>
                <w:u w:val="single"/>
              </w:rPr>
              <w:t>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二、參加本基金人員依法自繳之款項。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三、因本基金之運用、管理、處分、滅失、毀損或其他事由取得之收益或其他財產權。</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四、經政府核定撥交之補助款項。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五、依法或經政府核定辦理收支結算後應撥交本基金之不足款項。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六、其他有關收入。</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本基金之來源如下：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費用。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二、公務人員及第一條第二項所定人員依法自繳之費用。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三、本基金之孳息收入及其運用之收益。</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四、經政府核定撥交之補助款項。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五、其他有關收入。</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前項第一款各級政府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費用，應按年編列預算直接</w:t>
            </w:r>
            <w:proofErr w:type="gramStart"/>
            <w:r>
              <w:rPr>
                <w:rFonts w:ascii="新細明體" w:eastAsia="新細明體" w:hAnsi="新細明體" w:hint="eastAsia"/>
                <w:sz w:val="26"/>
                <w:szCs w:val="26"/>
              </w:rPr>
              <w:t>撥繳本</w:t>
            </w:r>
            <w:proofErr w:type="gramEnd"/>
            <w:r>
              <w:rPr>
                <w:rFonts w:ascii="新細明體" w:eastAsia="新細明體" w:hAnsi="新細明體" w:hint="eastAsia"/>
                <w:sz w:val="26"/>
                <w:szCs w:val="26"/>
              </w:rPr>
              <w:t>基金。第二款所定人員依法自繳之費用，應由各服務機關按月</w:t>
            </w:r>
            <w:proofErr w:type="gramStart"/>
            <w:r>
              <w:rPr>
                <w:rFonts w:ascii="新細明體" w:eastAsia="新細明體" w:hAnsi="新細明體" w:hint="eastAsia"/>
                <w:sz w:val="26"/>
                <w:szCs w:val="26"/>
              </w:rPr>
              <w:t>彙繳本</w:t>
            </w:r>
            <w:proofErr w:type="gramEnd"/>
            <w:r>
              <w:rPr>
                <w:rFonts w:ascii="新細明體" w:eastAsia="新細明體" w:hAnsi="新細明體" w:hint="eastAsia"/>
                <w:sz w:val="26"/>
                <w:szCs w:val="26"/>
              </w:rPr>
              <w:t>基金。</w:t>
            </w:r>
          </w:p>
        </w:tc>
        <w:tc>
          <w:tcPr>
            <w:tcW w:w="3019"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一、依軍、公、教及政務人員之退撫法律規定，基金費用由個人自繳百分之三十五，</w:t>
            </w:r>
            <w:proofErr w:type="gramStart"/>
            <w:r>
              <w:rPr>
                <w:rFonts w:ascii="新細明體" w:eastAsia="新細明體" w:hAnsi="新細明體" w:hint="eastAsia"/>
                <w:sz w:val="26"/>
                <w:szCs w:val="26"/>
              </w:rPr>
              <w:t>政府撥繳百分之六十五</w:t>
            </w:r>
            <w:proofErr w:type="gramEnd"/>
            <w:r>
              <w:rPr>
                <w:rFonts w:ascii="新細明體" w:eastAsia="新細明體" w:hAnsi="新細明體" w:hint="eastAsia"/>
                <w:sz w:val="26"/>
                <w:szCs w:val="26"/>
              </w:rPr>
              <w:t>，</w:t>
            </w:r>
            <w:proofErr w:type="gramStart"/>
            <w:r>
              <w:rPr>
                <w:rFonts w:ascii="新細明體" w:eastAsia="新細明體" w:hAnsi="新細明體" w:hint="eastAsia"/>
                <w:sz w:val="26"/>
                <w:szCs w:val="26"/>
              </w:rPr>
              <w:t>揆</w:t>
            </w:r>
            <w:proofErr w:type="gramEnd"/>
            <w:r>
              <w:rPr>
                <w:rFonts w:ascii="新細明體" w:eastAsia="新細明體" w:hAnsi="新細明體" w:hint="eastAsia"/>
                <w:sz w:val="26"/>
                <w:szCs w:val="26"/>
              </w:rPr>
              <w:t>其意旨乃政府基於雇主之身分，自應編列經費</w:t>
            </w:r>
            <w:proofErr w:type="gramStart"/>
            <w:r>
              <w:rPr>
                <w:rFonts w:ascii="新細明體" w:eastAsia="新細明體" w:hAnsi="新細明體" w:hint="eastAsia"/>
                <w:sz w:val="26"/>
                <w:szCs w:val="26"/>
              </w:rPr>
              <w:t>負責撥繳該</w:t>
            </w:r>
            <w:proofErr w:type="gramEnd"/>
            <w:r>
              <w:rPr>
                <w:rFonts w:ascii="新細明體" w:eastAsia="新細明體" w:hAnsi="新細明體" w:hint="eastAsia"/>
                <w:sz w:val="26"/>
                <w:szCs w:val="26"/>
              </w:rPr>
              <w:t>部分之基金費用，惟事業機構設有營運基金，部分機關（構）亦設有作業基金，屬自給自足性質，其人事</w:t>
            </w:r>
            <w:proofErr w:type="gramStart"/>
            <w:r>
              <w:rPr>
                <w:rFonts w:ascii="新細明體" w:eastAsia="新細明體" w:hAnsi="新細明體" w:hint="eastAsia"/>
                <w:sz w:val="26"/>
                <w:szCs w:val="26"/>
              </w:rPr>
              <w:t>經費均由其</w:t>
            </w:r>
            <w:proofErr w:type="gramEnd"/>
            <w:r>
              <w:rPr>
                <w:rFonts w:ascii="新細明體" w:eastAsia="新細明體" w:hAnsi="新細明體" w:hint="eastAsia"/>
                <w:sz w:val="26"/>
                <w:szCs w:val="26"/>
              </w:rPr>
              <w:t>營運或作業基金負擔，而非由政府負擔，故其所屬人員參加退撫基金者，上開百分之六十五之基金費用，亦應由該服務機關（構）負擔，另為免對「費用」一詞產生誤解，將「費用」一詞修正為「款項」以資明確，</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將第一款修正為「各級政府或參加本基金人員服務機關（構）、學校</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款項」，以</w:t>
            </w:r>
            <w:proofErr w:type="gramStart"/>
            <w:r>
              <w:rPr>
                <w:rFonts w:ascii="新細明體" w:eastAsia="新細明體" w:hAnsi="新細明體" w:hint="eastAsia"/>
                <w:sz w:val="26"/>
                <w:szCs w:val="26"/>
              </w:rPr>
              <w:t>釐</w:t>
            </w:r>
            <w:proofErr w:type="gramEnd"/>
            <w:r>
              <w:rPr>
                <w:rFonts w:ascii="新細明體" w:eastAsia="新細明體" w:hAnsi="新細明體" w:hint="eastAsia"/>
                <w:sz w:val="26"/>
                <w:szCs w:val="26"/>
              </w:rPr>
              <w:t>清退撫責任。</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二、為簡化</w:t>
            </w:r>
            <w:proofErr w:type="gramStart"/>
            <w:r>
              <w:rPr>
                <w:rFonts w:ascii="新細明體" w:eastAsia="新細明體" w:hAnsi="新細明體" w:hint="eastAsia"/>
                <w:sz w:val="26"/>
                <w:szCs w:val="26"/>
              </w:rPr>
              <w:t>用字且做</w:t>
            </w:r>
            <w:proofErr w:type="gramEnd"/>
            <w:r>
              <w:rPr>
                <w:rFonts w:ascii="新細明體" w:eastAsia="新細明體" w:hAnsi="新細明體" w:hint="eastAsia"/>
                <w:sz w:val="26"/>
                <w:szCs w:val="26"/>
              </w:rPr>
              <w:lastRenderedPageBreak/>
              <w:t>較彈性概括之規定，將第二款「公務人員及第一條第二項所定人員」配合修正條文第二條第四項規定，修正為「參加本基金人員」，將來</w:t>
            </w:r>
            <w:proofErr w:type="gramStart"/>
            <w:r>
              <w:rPr>
                <w:rFonts w:ascii="新細明體" w:eastAsia="新細明體" w:hAnsi="新細明體" w:hint="eastAsia"/>
                <w:sz w:val="26"/>
                <w:szCs w:val="26"/>
              </w:rPr>
              <w:t>無論何類人員</w:t>
            </w:r>
            <w:proofErr w:type="gramEnd"/>
            <w:r>
              <w:rPr>
                <w:rFonts w:ascii="新細明體" w:eastAsia="新細明體" w:hAnsi="新細明體" w:hint="eastAsia"/>
                <w:sz w:val="26"/>
                <w:szCs w:val="26"/>
              </w:rPr>
              <w:t>再加入本基金均可適用，並將「費用」一詞修正為「款項」。</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三、信託法第九條第二項規定「受託人因信託財產之管理、處分、滅失、毀損或其他事由取得之財產權，仍屬信託財產。」，</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參酌修正現行條文第三款，使基金來源不限於孳息收入及運用之收益，且</w:t>
            </w:r>
            <w:proofErr w:type="gramStart"/>
            <w:r>
              <w:rPr>
                <w:rFonts w:ascii="新細明體" w:eastAsia="新細明體" w:hAnsi="新細明體" w:hint="eastAsia"/>
                <w:sz w:val="26"/>
                <w:szCs w:val="26"/>
              </w:rPr>
              <w:t>包括因滅失</w:t>
            </w:r>
            <w:proofErr w:type="gramEnd"/>
            <w:r>
              <w:rPr>
                <w:rFonts w:ascii="新細明體" w:eastAsia="新細明體" w:hAnsi="新細明體" w:hint="eastAsia"/>
                <w:sz w:val="26"/>
                <w:szCs w:val="26"/>
              </w:rPr>
              <w:t>、毀損或其他事由取得之財產權，較為周妥。</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由於公營事業移轉民營條例第九條增定，事業機關所繳納之基金及孳息，扣除各項支出仍有不足數額，應撥交基金管理會，係屬於本基金之來源，加以未來各機關之作業基金將來亦有可能辦理收支結算，故於第五款增訂相關之來源事項，以資周延。</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五、現行條文第二項</w:t>
            </w:r>
            <w:r>
              <w:rPr>
                <w:rFonts w:ascii="新細明體" w:eastAsia="新細明體" w:hAnsi="新細明體" w:hint="eastAsia"/>
                <w:sz w:val="26"/>
                <w:szCs w:val="26"/>
              </w:rPr>
              <w:lastRenderedPageBreak/>
              <w:t>有關各級政府</w:t>
            </w:r>
            <w:proofErr w:type="gramStart"/>
            <w:r>
              <w:rPr>
                <w:rFonts w:ascii="新細明體" w:eastAsia="新細明體" w:hAnsi="新細明體" w:hint="eastAsia"/>
                <w:sz w:val="26"/>
                <w:szCs w:val="26"/>
              </w:rPr>
              <w:t>依法撥繳之</w:t>
            </w:r>
            <w:proofErr w:type="gramEnd"/>
            <w:r>
              <w:rPr>
                <w:rFonts w:ascii="新細明體" w:eastAsia="新細明體" w:hAnsi="新細明體" w:hint="eastAsia"/>
                <w:sz w:val="26"/>
                <w:szCs w:val="26"/>
              </w:rPr>
              <w:t>款項，應按年編列預算及有關</w:t>
            </w:r>
            <w:proofErr w:type="gramStart"/>
            <w:r>
              <w:rPr>
                <w:rFonts w:ascii="新細明體" w:eastAsia="新細明體" w:hAnsi="新細明體" w:hint="eastAsia"/>
                <w:sz w:val="26"/>
                <w:szCs w:val="26"/>
              </w:rPr>
              <w:t>款項撥繳之</w:t>
            </w:r>
            <w:proofErr w:type="gramEnd"/>
            <w:r>
              <w:rPr>
                <w:rFonts w:ascii="新細明體" w:eastAsia="新細明體" w:hAnsi="新細明體" w:hint="eastAsia"/>
                <w:sz w:val="26"/>
                <w:szCs w:val="26"/>
              </w:rPr>
              <w:t>規定，參加本基金人員之退撫</w:t>
            </w:r>
            <w:proofErr w:type="gramStart"/>
            <w:r>
              <w:rPr>
                <w:rFonts w:ascii="新細明體" w:eastAsia="新細明體" w:hAnsi="新細明體" w:hint="eastAsia"/>
                <w:sz w:val="26"/>
                <w:szCs w:val="26"/>
              </w:rPr>
              <w:t>法令均已有</w:t>
            </w:r>
            <w:proofErr w:type="gramEnd"/>
            <w:r>
              <w:rPr>
                <w:rFonts w:ascii="新細明體" w:eastAsia="新細明體" w:hAnsi="新細明體" w:hint="eastAsia"/>
                <w:sz w:val="26"/>
                <w:szCs w:val="26"/>
              </w:rPr>
              <w:t>明文規定，</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將本條第二項予以全項刪除，讓本條純粹規定有關本基金之來源事項。</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lastRenderedPageBreak/>
              <w:t>第四條</w:t>
            </w:r>
            <w:r>
              <w:rPr>
                <w:rFonts w:ascii="新細明體" w:eastAsia="新細明體" w:hAnsi="新細明體" w:hint="eastAsia"/>
                <w:sz w:val="26"/>
                <w:szCs w:val="26"/>
              </w:rPr>
              <w:t xml:space="preserve">　</w:t>
            </w:r>
            <w:r>
              <w:rPr>
                <w:rFonts w:ascii="新細明體" w:eastAsia="新細明體" w:hAnsi="新細明體" w:hint="eastAsia"/>
                <w:sz w:val="26"/>
                <w:szCs w:val="26"/>
                <w:u w:val="single"/>
              </w:rPr>
              <w:t>參加本基金人員與政府或服務機關（構）、學校，依法應按月</w:t>
            </w:r>
            <w:proofErr w:type="gramStart"/>
            <w:r>
              <w:rPr>
                <w:rFonts w:ascii="新細明體" w:eastAsia="新細明體" w:hAnsi="新細明體" w:hint="eastAsia"/>
                <w:sz w:val="26"/>
                <w:szCs w:val="26"/>
                <w:u w:val="single"/>
              </w:rPr>
              <w:t>共同撥繳之</w:t>
            </w:r>
            <w:proofErr w:type="gramEnd"/>
            <w:r>
              <w:rPr>
                <w:rFonts w:ascii="新細明體" w:eastAsia="新細明體" w:hAnsi="新細明體" w:hint="eastAsia"/>
                <w:sz w:val="26"/>
                <w:szCs w:val="26"/>
                <w:u w:val="single"/>
              </w:rPr>
              <w:t>款項，每月</w:t>
            </w:r>
            <w:proofErr w:type="gramStart"/>
            <w:r>
              <w:rPr>
                <w:rFonts w:ascii="新細明體" w:eastAsia="新細明體" w:hAnsi="新細明體" w:hint="eastAsia"/>
                <w:sz w:val="26"/>
                <w:szCs w:val="26"/>
                <w:u w:val="single"/>
              </w:rPr>
              <w:t>均應整</w:t>
            </w:r>
            <w:proofErr w:type="gramEnd"/>
            <w:r>
              <w:rPr>
                <w:rFonts w:ascii="新細明體" w:eastAsia="新細明體" w:hAnsi="新細明體" w:hint="eastAsia"/>
                <w:sz w:val="26"/>
                <w:szCs w:val="26"/>
                <w:u w:val="single"/>
              </w:rPr>
              <w:t>月繳納，並由參加本基金人員之服務機關（構）、學校，於當月十五</w:t>
            </w:r>
            <w:proofErr w:type="gramStart"/>
            <w:r>
              <w:rPr>
                <w:rFonts w:ascii="新細明體" w:eastAsia="新細明體" w:hAnsi="新細明體" w:hint="eastAsia"/>
                <w:sz w:val="26"/>
                <w:szCs w:val="26"/>
                <w:u w:val="single"/>
              </w:rPr>
              <w:t>日前彙繳基金</w:t>
            </w:r>
            <w:proofErr w:type="gramEnd"/>
            <w:r>
              <w:rPr>
                <w:rFonts w:ascii="新細明體" w:eastAsia="新細明體" w:hAnsi="新細明體" w:hint="eastAsia"/>
                <w:sz w:val="26"/>
                <w:szCs w:val="26"/>
                <w:u w:val="single"/>
              </w:rPr>
              <w:t>管理會委託辦理之金融機構，如遇每週例假日、國定假日或其他</w:t>
            </w:r>
            <w:proofErr w:type="gramStart"/>
            <w:r>
              <w:rPr>
                <w:rFonts w:ascii="新細明體" w:eastAsia="新細明體" w:hAnsi="新細明體" w:hint="eastAsia"/>
                <w:sz w:val="26"/>
                <w:szCs w:val="26"/>
                <w:u w:val="single"/>
              </w:rPr>
              <w:t>休息日者順延</w:t>
            </w:r>
            <w:proofErr w:type="gramEnd"/>
            <w:r>
              <w:rPr>
                <w:rFonts w:ascii="新細明體" w:eastAsia="新細明體" w:hAnsi="新細明體" w:hint="eastAsia"/>
                <w:sz w:val="26"/>
                <w:szCs w:val="26"/>
                <w:u w:val="single"/>
              </w:rPr>
              <w:t>至次日。</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參加本基金人員之服務機關（構）、學校未依前項規定期限彙繳款項者，基金管理會得函請該機關（構）、學校限期檢討督促</w:t>
            </w:r>
            <w:proofErr w:type="gramStart"/>
            <w:r>
              <w:rPr>
                <w:rFonts w:ascii="新細明體" w:eastAsia="新細明體" w:hAnsi="新細明體" w:hint="eastAsia"/>
                <w:sz w:val="26"/>
                <w:szCs w:val="26"/>
                <w:u w:val="single"/>
              </w:rPr>
              <w:t>改善或議處</w:t>
            </w:r>
            <w:proofErr w:type="gramEnd"/>
            <w:r>
              <w:rPr>
                <w:rFonts w:ascii="新細明體" w:eastAsia="新細明體" w:hAnsi="新細明體" w:hint="eastAsia"/>
                <w:sz w:val="26"/>
                <w:szCs w:val="26"/>
                <w:u w:val="single"/>
              </w:rPr>
              <w:t>相關失職人員。</w:t>
            </w:r>
          </w:p>
        </w:tc>
        <w:tc>
          <w:tcPr>
            <w:tcW w:w="3021" w:type="dxa"/>
          </w:tcPr>
          <w:p w:rsidR="00BF5B10" w:rsidRDefault="00BF5B10">
            <w:pPr>
              <w:spacing w:line="315" w:lineRule="exact"/>
              <w:ind w:leftChars="50" w:left="120" w:rightChars="50" w:right="120"/>
              <w:rPr>
                <w:rFonts w:ascii="新細明體" w:eastAsia="新細明體" w:hAnsi="新細明體"/>
                <w:sz w:val="26"/>
                <w:szCs w:val="26"/>
              </w:rPr>
            </w:pPr>
          </w:p>
        </w:tc>
        <w:tc>
          <w:tcPr>
            <w:tcW w:w="3019"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w:t>
            </w:r>
            <w:r>
              <w:rPr>
                <w:rFonts w:ascii="新細明體" w:eastAsia="新細明體" w:hAnsi="新細明體" w:hint="eastAsia"/>
                <w:sz w:val="26"/>
                <w:szCs w:val="26"/>
                <w:u w:val="single"/>
              </w:rPr>
              <w:t>本條新增</w:t>
            </w:r>
            <w:r>
              <w:rPr>
                <w:rFonts w:ascii="新細明體" w:eastAsia="新細明體" w:hAnsi="新細明體" w:hint="eastAsia"/>
                <w:sz w:val="26"/>
                <w:szCs w:val="26"/>
              </w:rPr>
              <w:t>。</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二、依現行本條例施行細則第十三條規定：「（第一項）各機關公立學校軍事單位應</w:t>
            </w:r>
            <w:proofErr w:type="gramStart"/>
            <w:r>
              <w:rPr>
                <w:rFonts w:ascii="新細明體" w:eastAsia="新細明體" w:hAnsi="新細明體" w:hint="eastAsia"/>
                <w:sz w:val="26"/>
                <w:szCs w:val="26"/>
              </w:rPr>
              <w:t>按月撥繳之</w:t>
            </w:r>
            <w:proofErr w:type="gramEnd"/>
            <w:r>
              <w:rPr>
                <w:rFonts w:ascii="新細明體" w:eastAsia="新細明體" w:hAnsi="新細明體" w:hint="eastAsia"/>
                <w:sz w:val="26"/>
                <w:szCs w:val="26"/>
              </w:rPr>
              <w:t>基金費用，於當月十五</w:t>
            </w:r>
            <w:proofErr w:type="gramStart"/>
            <w:r>
              <w:rPr>
                <w:rFonts w:ascii="新細明體" w:eastAsia="新細明體" w:hAnsi="新細明體" w:hint="eastAsia"/>
                <w:sz w:val="26"/>
                <w:szCs w:val="26"/>
              </w:rPr>
              <w:t>日前彙繳基金</w:t>
            </w:r>
            <w:proofErr w:type="gramEnd"/>
            <w:r>
              <w:rPr>
                <w:rFonts w:ascii="新細明體" w:eastAsia="新細明體" w:hAnsi="新細明體" w:hint="eastAsia"/>
                <w:sz w:val="26"/>
                <w:szCs w:val="26"/>
              </w:rPr>
              <w:t>管理會委託辦理之金融機構，如遇星期日及例假順延之。逾期未繳，致參加本基金人員或其遺族權益受損時，由服務機關學校軍事單位負責。（第二項）基金管理會應</w:t>
            </w:r>
            <w:proofErr w:type="gramStart"/>
            <w:r>
              <w:rPr>
                <w:rFonts w:ascii="新細明體" w:eastAsia="新細明體" w:hAnsi="新細明體" w:hint="eastAsia"/>
                <w:sz w:val="26"/>
                <w:szCs w:val="26"/>
              </w:rPr>
              <w:t>俟</w:t>
            </w:r>
            <w:proofErr w:type="gramEnd"/>
            <w:r>
              <w:rPr>
                <w:rFonts w:ascii="新細明體" w:eastAsia="新細明體" w:hAnsi="新細明體" w:hint="eastAsia"/>
                <w:sz w:val="26"/>
                <w:szCs w:val="26"/>
              </w:rPr>
              <w:t>本基金費用繳清後，始予辦理各項給與。（第三項）參加本基金人員如逾期繳付基金費用，其未繳費之年資，應按相同等級人員繳費標準換算複利終值之總和一次繳付，始予辦理各項給與。」</w:t>
            </w:r>
            <w:proofErr w:type="gramStart"/>
            <w:r>
              <w:rPr>
                <w:rFonts w:ascii="新細明體" w:eastAsia="新細明體" w:hAnsi="新細明體" w:hint="eastAsia"/>
                <w:sz w:val="26"/>
                <w:szCs w:val="26"/>
              </w:rPr>
              <w:t>玆</w:t>
            </w:r>
            <w:proofErr w:type="gramEnd"/>
            <w:r>
              <w:rPr>
                <w:rFonts w:ascii="新細明體" w:eastAsia="新細明體" w:hAnsi="新細明體" w:hint="eastAsia"/>
                <w:sz w:val="26"/>
                <w:szCs w:val="26"/>
              </w:rPr>
              <w:t>以上述規定屬涉及參加本基金人員之</w:t>
            </w:r>
            <w:r>
              <w:rPr>
                <w:rFonts w:ascii="新細明體" w:eastAsia="新細明體" w:hAnsi="新細明體" w:hint="eastAsia"/>
                <w:sz w:val="26"/>
                <w:szCs w:val="26"/>
              </w:rPr>
              <w:lastRenderedPageBreak/>
              <w:t>權利義務事項，應以法律定之，</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改定於本條例第四條及第五條。本條係提升施行細則第一項前段規定，並作以下增修：配合修正條文</w:t>
            </w:r>
            <w:proofErr w:type="gramStart"/>
            <w:r>
              <w:rPr>
                <w:rFonts w:ascii="新細明體" w:eastAsia="新細明體" w:hAnsi="新細明體" w:hint="eastAsia"/>
                <w:sz w:val="26"/>
                <w:szCs w:val="26"/>
              </w:rPr>
              <w:t>第三條用字</w:t>
            </w:r>
            <w:proofErr w:type="gramEnd"/>
            <w:r>
              <w:rPr>
                <w:rFonts w:ascii="新細明體" w:eastAsia="新細明體" w:hAnsi="新細明體" w:hint="eastAsia"/>
                <w:sz w:val="26"/>
                <w:szCs w:val="26"/>
              </w:rPr>
              <w:t>修正為「參加本基金人員與政府或服務機關（構）、學校，依法應按月</w:t>
            </w:r>
            <w:proofErr w:type="gramStart"/>
            <w:r>
              <w:rPr>
                <w:rFonts w:ascii="新細明體" w:eastAsia="新細明體" w:hAnsi="新細明體" w:hint="eastAsia"/>
                <w:sz w:val="26"/>
                <w:szCs w:val="26"/>
              </w:rPr>
              <w:t>共同撥繳之</w:t>
            </w:r>
            <w:proofErr w:type="gramEnd"/>
            <w:r>
              <w:rPr>
                <w:rFonts w:ascii="新細明體" w:eastAsia="新細明體" w:hAnsi="新細明體" w:hint="eastAsia"/>
                <w:sz w:val="26"/>
                <w:szCs w:val="26"/>
              </w:rPr>
              <w:t>款項」至於前開施行細則第十三條第一項後段及第二、三項改訂於修正條文第五條第一、二項。</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三、由於參加本基金人員退撫年資之計算，依參加本基金人員相關退撫法令規定，</w:t>
            </w:r>
            <w:proofErr w:type="gramStart"/>
            <w:r>
              <w:rPr>
                <w:rFonts w:ascii="新細明體" w:eastAsia="新細明體" w:hAnsi="新細明體" w:hint="eastAsia"/>
                <w:sz w:val="26"/>
                <w:szCs w:val="26"/>
              </w:rPr>
              <w:t>均以整</w:t>
            </w:r>
            <w:proofErr w:type="gramEnd"/>
            <w:r>
              <w:rPr>
                <w:rFonts w:ascii="新細明體" w:eastAsia="新細明體" w:hAnsi="新細明體" w:hint="eastAsia"/>
                <w:sz w:val="26"/>
                <w:szCs w:val="26"/>
              </w:rPr>
              <w:t>月計算，故於月中加入或退出本基金者，其當月應繳之款項</w:t>
            </w:r>
            <w:proofErr w:type="gramStart"/>
            <w:r>
              <w:rPr>
                <w:rFonts w:ascii="新細明體" w:eastAsia="新細明體" w:hAnsi="新細明體" w:hint="eastAsia"/>
                <w:sz w:val="26"/>
                <w:szCs w:val="26"/>
              </w:rPr>
              <w:t>亦應整月</w:t>
            </w:r>
            <w:proofErr w:type="gramEnd"/>
            <w:r>
              <w:rPr>
                <w:rFonts w:ascii="新細明體" w:eastAsia="新細明體" w:hAnsi="新細明體" w:hint="eastAsia"/>
                <w:sz w:val="26"/>
                <w:szCs w:val="26"/>
              </w:rPr>
              <w:t>繳納，始符合繳費義務與給與權利平衡之原則。</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於本條中段增訂，依法應按月</w:t>
            </w:r>
            <w:proofErr w:type="gramStart"/>
            <w:r>
              <w:rPr>
                <w:rFonts w:ascii="新細明體" w:eastAsia="新細明體" w:hAnsi="新細明體" w:hint="eastAsia"/>
                <w:sz w:val="26"/>
                <w:szCs w:val="26"/>
              </w:rPr>
              <w:t>共同撥繳之</w:t>
            </w:r>
            <w:proofErr w:type="gramEnd"/>
            <w:r>
              <w:rPr>
                <w:rFonts w:ascii="新細明體" w:eastAsia="新細明體" w:hAnsi="新細明體" w:hint="eastAsia"/>
                <w:sz w:val="26"/>
                <w:szCs w:val="26"/>
              </w:rPr>
              <w:t>款項，每月</w:t>
            </w:r>
            <w:proofErr w:type="gramStart"/>
            <w:r>
              <w:rPr>
                <w:rFonts w:ascii="新細明體" w:eastAsia="新細明體" w:hAnsi="新細明體" w:hint="eastAsia"/>
                <w:sz w:val="26"/>
                <w:szCs w:val="26"/>
              </w:rPr>
              <w:t>均應整</w:t>
            </w:r>
            <w:proofErr w:type="gramEnd"/>
            <w:r>
              <w:rPr>
                <w:rFonts w:ascii="新細明體" w:eastAsia="新細明體" w:hAnsi="新細明體" w:hint="eastAsia"/>
                <w:sz w:val="26"/>
                <w:szCs w:val="26"/>
              </w:rPr>
              <w:t>月繳納。</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w:t>
            </w:r>
            <w:proofErr w:type="gramStart"/>
            <w:r>
              <w:rPr>
                <w:rFonts w:ascii="新細明體" w:eastAsia="新細明體" w:hAnsi="新細明體" w:hint="eastAsia"/>
                <w:sz w:val="26"/>
                <w:szCs w:val="26"/>
              </w:rPr>
              <w:t>此外，</w:t>
            </w:r>
            <w:proofErr w:type="gramEnd"/>
            <w:r>
              <w:rPr>
                <w:rFonts w:ascii="新細明體" w:eastAsia="新細明體" w:hAnsi="新細明體" w:hint="eastAsia"/>
                <w:sz w:val="26"/>
                <w:szCs w:val="26"/>
              </w:rPr>
              <w:t>參考公務人員服務法第十一條及行政程序法第四十八條第四項之規定，將原「如遇星期日及例假順延之。」等字，修正</w:t>
            </w:r>
            <w:r>
              <w:rPr>
                <w:rFonts w:ascii="新細明體" w:eastAsia="新細明體" w:hAnsi="新細明體" w:hint="eastAsia"/>
                <w:sz w:val="26"/>
                <w:szCs w:val="26"/>
              </w:rPr>
              <w:lastRenderedPageBreak/>
              <w:t>為「如遇每週例假日、國定假日或其他</w:t>
            </w:r>
            <w:proofErr w:type="gramStart"/>
            <w:r>
              <w:rPr>
                <w:rFonts w:ascii="新細明體" w:eastAsia="新細明體" w:hAnsi="新細明體" w:hint="eastAsia"/>
                <w:sz w:val="26"/>
                <w:szCs w:val="26"/>
              </w:rPr>
              <w:t>休息日者順延</w:t>
            </w:r>
            <w:proofErr w:type="gramEnd"/>
            <w:r>
              <w:rPr>
                <w:rFonts w:ascii="新細明體" w:eastAsia="新細明體" w:hAnsi="新細明體" w:hint="eastAsia"/>
                <w:sz w:val="26"/>
                <w:szCs w:val="26"/>
              </w:rPr>
              <w:t>至次日。」，以資明確。</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五、為使應繳款項能按時順利收繳以保障全體參加基金人員之權益，</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於本條第二項增定，對於逾期繳納款項之機關（構）、學校基金管理會得函請該機關（構）、學校限期檢討督促</w:t>
            </w:r>
            <w:proofErr w:type="gramStart"/>
            <w:r>
              <w:rPr>
                <w:rFonts w:ascii="新細明體" w:eastAsia="新細明體" w:hAnsi="新細明體" w:hint="eastAsia"/>
                <w:sz w:val="26"/>
                <w:szCs w:val="26"/>
              </w:rPr>
              <w:t>改善或議處</w:t>
            </w:r>
            <w:proofErr w:type="gramEnd"/>
            <w:r>
              <w:rPr>
                <w:rFonts w:ascii="新細明體" w:eastAsia="新細明體" w:hAnsi="新細明體" w:hint="eastAsia"/>
                <w:sz w:val="26"/>
                <w:szCs w:val="26"/>
              </w:rPr>
              <w:t>相關失職人員，以促使機關承辦人員依限儘速繳費。</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lastRenderedPageBreak/>
              <w:t>第五條</w:t>
            </w:r>
            <w:r>
              <w:rPr>
                <w:rFonts w:ascii="新細明體" w:eastAsia="新細明體" w:hAnsi="新細明體" w:hint="eastAsia"/>
                <w:sz w:val="26"/>
                <w:szCs w:val="26"/>
              </w:rPr>
              <w:t xml:space="preserve">　</w:t>
            </w:r>
            <w:r>
              <w:rPr>
                <w:rFonts w:ascii="新細明體" w:eastAsia="新細明體" w:hAnsi="新細明體" w:hint="eastAsia"/>
                <w:sz w:val="26"/>
                <w:szCs w:val="26"/>
                <w:u w:val="single"/>
              </w:rPr>
              <w:t>前條應繳之款項，基金管理會應</w:t>
            </w:r>
            <w:proofErr w:type="gramStart"/>
            <w:r>
              <w:rPr>
                <w:rFonts w:ascii="新細明體" w:eastAsia="新細明體" w:hAnsi="新細明體" w:hint="eastAsia"/>
                <w:sz w:val="26"/>
                <w:szCs w:val="26"/>
                <w:u w:val="single"/>
              </w:rPr>
              <w:t>俟</w:t>
            </w:r>
            <w:proofErr w:type="gramEnd"/>
            <w:r>
              <w:rPr>
                <w:rFonts w:ascii="新細明體" w:eastAsia="新細明體" w:hAnsi="新細明體" w:hint="eastAsia"/>
                <w:sz w:val="26"/>
                <w:szCs w:val="26"/>
                <w:u w:val="single"/>
              </w:rPr>
              <w:t>其繳納後，始予辦理各項給與。其因逾期未繳而致參加本基金人員或其遺族權益受損時，由服務機關（構）、學校負責。但有不可歸責於服務機關（構）、學校之事由者，不在此限。</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參加本基金人員如逾期繳付款項或追溯加入本基金者，其未繳費之年資，應按相同等級人員繳費標準換算複利終值之總和一次繳付，始予辦理各項給與。</w:t>
            </w:r>
          </w:p>
        </w:tc>
        <w:tc>
          <w:tcPr>
            <w:tcW w:w="3021" w:type="dxa"/>
          </w:tcPr>
          <w:p w:rsidR="00BF5B10" w:rsidRDefault="00BF5B10">
            <w:pPr>
              <w:spacing w:line="315" w:lineRule="exact"/>
              <w:ind w:leftChars="50" w:left="120" w:rightChars="50" w:right="120"/>
              <w:rPr>
                <w:rFonts w:ascii="新細明體" w:eastAsia="新細明體" w:hAnsi="新細明體"/>
                <w:sz w:val="26"/>
                <w:szCs w:val="26"/>
              </w:rPr>
            </w:pPr>
          </w:p>
        </w:tc>
        <w:tc>
          <w:tcPr>
            <w:tcW w:w="3019"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w:t>
            </w:r>
            <w:r>
              <w:rPr>
                <w:rFonts w:ascii="新細明體" w:eastAsia="新細明體" w:hAnsi="新細明體" w:hint="eastAsia"/>
                <w:sz w:val="26"/>
                <w:szCs w:val="26"/>
                <w:u w:val="single"/>
              </w:rPr>
              <w:t>本條新增</w:t>
            </w:r>
            <w:r>
              <w:rPr>
                <w:rFonts w:ascii="新細明體" w:eastAsia="新細明體" w:hAnsi="新細明體" w:hint="eastAsia"/>
                <w:sz w:val="26"/>
                <w:szCs w:val="26"/>
              </w:rPr>
              <w:t>。</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二、現行本條例施行細則第十三條第一項後段規定：「逾期未繳，致參加本基金人員或其遺族權益受損時，由服務機關學校軍事單位負責。」第二項規定：「基金管理會應</w:t>
            </w:r>
            <w:proofErr w:type="gramStart"/>
            <w:r>
              <w:rPr>
                <w:rFonts w:ascii="新細明體" w:eastAsia="新細明體" w:hAnsi="新細明體" w:hint="eastAsia"/>
                <w:sz w:val="26"/>
                <w:szCs w:val="26"/>
              </w:rPr>
              <w:t>俟</w:t>
            </w:r>
            <w:proofErr w:type="gramEnd"/>
            <w:r>
              <w:rPr>
                <w:rFonts w:ascii="新細明體" w:eastAsia="新細明體" w:hAnsi="新細明體" w:hint="eastAsia"/>
                <w:sz w:val="26"/>
                <w:szCs w:val="26"/>
              </w:rPr>
              <w:t>本基金費用繳清後，始予辦理各項給與。」由於上述規定事涉當事人重要權益，</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合併改列為本條第一項，並於但書增列不可歸責事由之除外規定，</w:t>
            </w:r>
            <w:proofErr w:type="gramStart"/>
            <w:r>
              <w:rPr>
                <w:rFonts w:ascii="新細明體" w:eastAsia="新細明體" w:hAnsi="新細明體" w:hint="eastAsia"/>
                <w:sz w:val="26"/>
                <w:szCs w:val="26"/>
              </w:rPr>
              <w:t>俾</w:t>
            </w:r>
            <w:proofErr w:type="gramEnd"/>
            <w:r>
              <w:rPr>
                <w:rFonts w:ascii="新細明體" w:eastAsia="新細明體" w:hAnsi="新細明體" w:hint="eastAsia"/>
                <w:sz w:val="26"/>
                <w:szCs w:val="26"/>
              </w:rPr>
              <w:t>資合理。</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三、又本條例施行細則第十三條第三項規定：「參加本基金</w:t>
            </w:r>
            <w:r>
              <w:rPr>
                <w:rFonts w:ascii="新細明體" w:eastAsia="新細明體" w:hAnsi="新細明體" w:hint="eastAsia"/>
                <w:sz w:val="26"/>
                <w:szCs w:val="26"/>
              </w:rPr>
              <w:lastRenderedPageBreak/>
              <w:t>人員如逾期繳付基金費用，其未繳費之年資，應按相同等級人員繳費標準換算複利終值之總和一次繳付，始予辦理各項給與。」係規範參加基金人員因個人因素致逾期繳費，應補繳款項本息後始予辦理各項給與之規定，亦屬當事人重要權益事項，</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改訂於本條第二項，至複利終值之利率標準，擬於細則中規範。另對於追溯加入本基金之人員，於補繳款項時，基於複利終值觀念以及所有參加本基金人員權利義務公平之原則，自應換算複利終值之總和一次繳付基金，始能追溯取得參加基金之年資，</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予增定。</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第六條　本基金之用途，限於經各該主管機關依法核定支付第一條所定人員之退休金、退職酬勞金、退伍金、退休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、贍養金、撫卹金、撫慰金、資遣給與及中途離職者之退費。但下列各項</w:t>
            </w:r>
            <w:proofErr w:type="gramStart"/>
            <w:r>
              <w:rPr>
                <w:rFonts w:ascii="新細明體" w:eastAsia="新細明體" w:hAnsi="新細明體" w:hint="eastAsia"/>
                <w:sz w:val="26"/>
                <w:szCs w:val="26"/>
              </w:rPr>
              <w:t>加發仍應</w:t>
            </w:r>
            <w:proofErr w:type="gramEnd"/>
            <w:r>
              <w:rPr>
                <w:rFonts w:ascii="新細明體" w:eastAsia="新細明體" w:hAnsi="新細明體" w:hint="eastAsia"/>
                <w:sz w:val="26"/>
                <w:szCs w:val="26"/>
              </w:rPr>
              <w:t>由各級政府另行編列預</w:t>
            </w:r>
            <w:r>
              <w:rPr>
                <w:rFonts w:ascii="新細明體" w:eastAsia="新細明體" w:hAnsi="新細明體" w:hint="eastAsia"/>
                <w:sz w:val="26"/>
                <w:szCs w:val="26"/>
              </w:rPr>
              <w:lastRenderedPageBreak/>
              <w:t>算支付：</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一、因公或作戰傷病</w:t>
            </w:r>
            <w:proofErr w:type="gramStart"/>
            <w:r>
              <w:rPr>
                <w:rFonts w:ascii="新細明體" w:eastAsia="新細明體" w:hAnsi="新細明體" w:hint="eastAsia"/>
                <w:sz w:val="26"/>
                <w:szCs w:val="26"/>
              </w:rPr>
              <w:t>成殘加發</w:t>
            </w:r>
            <w:proofErr w:type="gramEnd"/>
            <w:r>
              <w:rPr>
                <w:rFonts w:ascii="新細明體" w:eastAsia="新細明體" w:hAnsi="新細明體" w:hint="eastAsia"/>
                <w:sz w:val="26"/>
                <w:szCs w:val="26"/>
              </w:rPr>
              <w:t>之退休（職）（伍）金。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二、因公死亡加發之撫卹金。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三、勳章、獎章及特殊功績加給之退休（職）（伍）金、撫卹金。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四、公務人員於年滿五十五歲時，自願提前退休加發之退休金。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五、依公務人員退休法第十六條之一第五項、第六項規定加發之一次補償金。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六、依軍人撫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條例規定加發之撫卹金。</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w:t>
            </w:r>
            <w:r>
              <w:rPr>
                <w:rFonts w:ascii="新細明體" w:eastAsia="新細明體" w:hAnsi="新細明體" w:hint="eastAsia"/>
                <w:sz w:val="26"/>
                <w:szCs w:val="26"/>
                <w:u w:val="single"/>
              </w:rPr>
              <w:t>四</w:t>
            </w:r>
            <w:r>
              <w:rPr>
                <w:rFonts w:ascii="新細明體" w:eastAsia="新細明體" w:hAnsi="新細明體" w:hint="eastAsia"/>
                <w:sz w:val="26"/>
                <w:szCs w:val="26"/>
              </w:rPr>
              <w:t>條　本基金之用途，限於經各該主管機關依法核定支付第一條所定人員之退休金、退職酬勞金、退伍金、退休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、贍養金、撫卹金、撫慰金、資遣給與及中途離職者之退費。但下列各項</w:t>
            </w:r>
            <w:proofErr w:type="gramStart"/>
            <w:r>
              <w:rPr>
                <w:rFonts w:ascii="新細明體" w:eastAsia="新細明體" w:hAnsi="新細明體" w:hint="eastAsia"/>
                <w:sz w:val="26"/>
                <w:szCs w:val="26"/>
              </w:rPr>
              <w:t>加發仍應</w:t>
            </w:r>
            <w:proofErr w:type="gramEnd"/>
            <w:r>
              <w:rPr>
                <w:rFonts w:ascii="新細明體" w:eastAsia="新細明體" w:hAnsi="新細明體" w:hint="eastAsia"/>
                <w:sz w:val="26"/>
                <w:szCs w:val="26"/>
              </w:rPr>
              <w:t>由各級政府另行編列預</w:t>
            </w:r>
            <w:r>
              <w:rPr>
                <w:rFonts w:ascii="新細明體" w:eastAsia="新細明體" w:hAnsi="新細明體" w:hint="eastAsia"/>
                <w:sz w:val="26"/>
                <w:szCs w:val="26"/>
              </w:rPr>
              <w:lastRenderedPageBreak/>
              <w:t>算支付：</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一、因公或作戰傷病</w:t>
            </w:r>
            <w:proofErr w:type="gramStart"/>
            <w:r>
              <w:rPr>
                <w:rFonts w:ascii="新細明體" w:eastAsia="新細明體" w:hAnsi="新細明體" w:hint="eastAsia"/>
                <w:sz w:val="26"/>
                <w:szCs w:val="26"/>
              </w:rPr>
              <w:t>成殘加發</w:t>
            </w:r>
            <w:proofErr w:type="gramEnd"/>
            <w:r>
              <w:rPr>
                <w:rFonts w:ascii="新細明體" w:eastAsia="新細明體" w:hAnsi="新細明體" w:hint="eastAsia"/>
                <w:sz w:val="26"/>
                <w:szCs w:val="26"/>
              </w:rPr>
              <w:t>之退休（職）（伍）金。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二、因公死亡加發之撫卹金。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三、勳章、獎章及特殊功績加給之退休（職）（伍）金、撫卹金。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四、公務人員於年滿五十五歲時，自願提前退休加發之退休金。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五、依公務人員退休法第十六條之一第五項、第六項規定加發之一次補償金。</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六、依軍人撫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條例規定加發之撫卹金。</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條次變更。</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第七條　本基金之運用範圍如下：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一、購買公債、庫</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、短期票</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、受益憑證、公司債、上市公司股票。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二、存放於委員會所指定之銀行。</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三、與第一條所定人員福利有關設施之投資及貸款。</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四、以貸款方式供各級政府或公營事業機構辦理有償性或可分年編列預算償還之經</w:t>
            </w:r>
            <w:r>
              <w:rPr>
                <w:rFonts w:ascii="新細明體" w:eastAsia="新細明體" w:hAnsi="新細明體" w:hint="eastAsia"/>
                <w:sz w:val="26"/>
                <w:szCs w:val="26"/>
              </w:rPr>
              <w:lastRenderedPageBreak/>
              <w:t>濟建設或投資。</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五、經委員會審定通過，並報請考試、行政兩院核准有利於本基金收益之投資項目。</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本基金之運用及委託經營，由委員會擬訂年度計畫行之，並由政府負擔保責任。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本基金之運用，其三年內平均最低年收益不得低於台灣銀行二年期定期存款利率計算之收益</w:t>
            </w:r>
            <w:r w:rsidR="006E2E04" w:rsidRPr="006E2E04">
              <w:rPr>
                <w:rFonts w:ascii="新細明體" w:hAnsi="新細明體" w:cs="新細明體" w:hint="eastAsia"/>
                <w:kern w:val="0"/>
                <w:sz w:val="26"/>
                <w:szCs w:val="26"/>
                <w:u w:val="single"/>
              </w:rPr>
              <w:t>，且不得低於百分之一</w:t>
            </w:r>
            <w:r w:rsidR="006E2E04" w:rsidRPr="006E2E04">
              <w:rPr>
                <w:rFonts w:ascii="新細明體" w:hAnsi="新細明體" w:cs="新細明體"/>
                <w:kern w:val="0"/>
                <w:sz w:val="26"/>
                <w:szCs w:val="26"/>
                <w:u w:val="single"/>
              </w:rPr>
              <w:t>。</w:t>
            </w:r>
            <w:r>
              <w:rPr>
                <w:rFonts w:ascii="新細明體" w:eastAsia="新細明體" w:hAnsi="新細明體" w:hint="eastAsia"/>
                <w:sz w:val="26"/>
                <w:szCs w:val="26"/>
              </w:rPr>
              <w:t>如運用所得未達規定之最低收益者，由國庫補足其差額。</w:t>
            </w:r>
            <w:r>
              <w:rPr>
                <w:rFonts w:ascii="新細明體" w:eastAsia="新細明體" w:hAnsi="新細明體" w:hint="eastAsia"/>
                <w:sz w:val="26"/>
                <w:szCs w:val="26"/>
                <w:u w:val="single"/>
              </w:rPr>
              <w:t>如運用收益超過年度預定</w:t>
            </w:r>
            <w:proofErr w:type="gramStart"/>
            <w:r>
              <w:rPr>
                <w:rFonts w:ascii="新細明體" w:eastAsia="新細明體" w:hAnsi="新細明體" w:hint="eastAsia"/>
                <w:sz w:val="26"/>
                <w:szCs w:val="26"/>
                <w:u w:val="single"/>
              </w:rPr>
              <w:t>報酬率加百分之</w:t>
            </w:r>
            <w:proofErr w:type="gramEnd"/>
            <w:r>
              <w:rPr>
                <w:rFonts w:ascii="新細明體" w:eastAsia="新細明體" w:hAnsi="新細明體" w:hint="eastAsia"/>
                <w:sz w:val="26"/>
                <w:szCs w:val="26"/>
                <w:u w:val="single"/>
              </w:rPr>
              <w:t>五十時，超過部分之一半應</w:t>
            </w:r>
            <w:proofErr w:type="gramStart"/>
            <w:r>
              <w:rPr>
                <w:rFonts w:ascii="新細明體" w:eastAsia="新細明體" w:hAnsi="新細明體" w:hint="eastAsia"/>
                <w:sz w:val="26"/>
                <w:szCs w:val="26"/>
                <w:u w:val="single"/>
              </w:rPr>
              <w:t>提撥</w:t>
            </w:r>
            <w:proofErr w:type="gramEnd"/>
            <w:r>
              <w:rPr>
                <w:rFonts w:ascii="新細明體" w:eastAsia="新細明體" w:hAnsi="新細明體" w:hint="eastAsia"/>
                <w:sz w:val="26"/>
                <w:szCs w:val="26"/>
                <w:u w:val="single"/>
              </w:rPr>
              <w:t>至國庫，充作補足差額之準備。</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w:t>
            </w:r>
            <w:r>
              <w:rPr>
                <w:rFonts w:ascii="新細明體" w:eastAsia="新細明體" w:hAnsi="新細明體" w:hint="eastAsia"/>
                <w:sz w:val="26"/>
                <w:szCs w:val="26"/>
                <w:u w:val="single"/>
              </w:rPr>
              <w:t>五</w:t>
            </w:r>
            <w:r>
              <w:rPr>
                <w:rFonts w:ascii="新細明體" w:eastAsia="新細明體" w:hAnsi="新細明體" w:hint="eastAsia"/>
                <w:sz w:val="26"/>
                <w:szCs w:val="26"/>
              </w:rPr>
              <w:t>條　本基金之運用範圍如下：</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一、購買公債、庫</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、短期票</w:t>
            </w:r>
            <w:proofErr w:type="gramStart"/>
            <w:r>
              <w:rPr>
                <w:rFonts w:ascii="新細明體" w:eastAsia="新細明體" w:hAnsi="新細明體" w:hint="eastAsia"/>
                <w:sz w:val="26"/>
                <w:szCs w:val="26"/>
              </w:rPr>
              <w:t>券</w:t>
            </w:r>
            <w:proofErr w:type="gramEnd"/>
            <w:r>
              <w:rPr>
                <w:rFonts w:ascii="新細明體" w:eastAsia="新細明體" w:hAnsi="新細明體" w:hint="eastAsia"/>
                <w:sz w:val="26"/>
                <w:szCs w:val="26"/>
              </w:rPr>
              <w:t>、受益憑證、公司債、上市公司股票。</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二、存放於本基金管理委員會所指定之銀行。</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三、與第一條所定人員福利有關設施之投資及貸款。</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四、以貸款方式供各級政府或公營事業機構辦理有償性或可分年編</w:t>
            </w:r>
            <w:r>
              <w:rPr>
                <w:rFonts w:ascii="新細明體" w:eastAsia="新細明體" w:hAnsi="新細明體" w:hint="eastAsia"/>
                <w:sz w:val="26"/>
                <w:szCs w:val="26"/>
              </w:rPr>
              <w:lastRenderedPageBreak/>
              <w:t>列預算償還之經濟建設或投資。</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五、經本基金監理委員會審定通過，並報請考試、行政兩院核准有利於本基金收益之投資項目。</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本基金之運用及委託經營，由基金管理委員會擬訂年度計畫，經基金監理委員會審定後行之，並由政府負擔保責任。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本基金之運用，其三年內平均最低年收益不得低於台灣銀行二年期定期存款利率計算之收益。如運用所得未達規定之最低收益者，由國庫補足其差額。</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條次變更，並依原條例，修正為「監」理委員會。</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第三項增列超過一定收益之處理，以與國庫撥補責任衡平。</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第八條　本基金之會計年度應與政府會計年度一致。</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本基金依預算法規定，應屬特種基金，並編製附屬單位預算。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本基金有關預算編製、預算執行、決算編造，除應依照預算法、會計法、決算法及審計法規定辦理外，</w:t>
            </w:r>
            <w:r>
              <w:rPr>
                <w:rFonts w:ascii="新細明體" w:eastAsia="新細明體" w:hAnsi="新細明體" w:hint="eastAsia"/>
                <w:sz w:val="26"/>
                <w:szCs w:val="26"/>
              </w:rPr>
              <w:lastRenderedPageBreak/>
              <w:t>應由</w:t>
            </w:r>
            <w:r>
              <w:rPr>
                <w:rFonts w:ascii="新細明體" w:eastAsia="新細明體" w:hAnsi="新細明體" w:hint="eastAsia"/>
                <w:sz w:val="26"/>
                <w:szCs w:val="26"/>
                <w:u w:val="single"/>
              </w:rPr>
              <w:t>監理</w:t>
            </w:r>
            <w:r>
              <w:rPr>
                <w:rFonts w:ascii="新細明體" w:eastAsia="新細明體" w:hAnsi="新細明體" w:hint="eastAsia"/>
                <w:sz w:val="26"/>
                <w:szCs w:val="26"/>
              </w:rPr>
              <w:t>委員會依下列程序辦理：</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一、年度開始前應訂定運用方針編製收支預算。</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二、年度終了應編具工作執行成果報告暨收支決算</w:t>
            </w:r>
            <w:r>
              <w:rPr>
                <w:rFonts w:ascii="新細明體" w:eastAsia="新細明體" w:hAnsi="新細明體" w:hint="eastAsia"/>
                <w:sz w:val="26"/>
                <w:szCs w:val="26"/>
                <w:u w:val="single"/>
              </w:rPr>
              <w:t>並公告之。</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w:t>
            </w:r>
            <w:r>
              <w:rPr>
                <w:rFonts w:ascii="新細明體" w:eastAsia="新細明體" w:hAnsi="新細明體" w:hint="eastAsia"/>
                <w:sz w:val="26"/>
                <w:szCs w:val="26"/>
                <w:u w:val="single"/>
              </w:rPr>
              <w:t>六</w:t>
            </w:r>
            <w:r>
              <w:rPr>
                <w:rFonts w:ascii="新細明體" w:eastAsia="新細明體" w:hAnsi="新細明體" w:hint="eastAsia"/>
                <w:sz w:val="26"/>
                <w:szCs w:val="26"/>
              </w:rPr>
              <w:t>條　本基金之會計年度應與政府會計年度一致。</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本基金依預算法規定，應屬特種基金，並編製附屬單位預算。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本基金有關預算編製、預算執行、決算編造，除應依照預算法、會計法、決算法及審計法規定辦理外，</w:t>
            </w:r>
            <w:r>
              <w:rPr>
                <w:rFonts w:ascii="新細明體" w:eastAsia="新細明體" w:hAnsi="新細明體" w:hint="eastAsia"/>
                <w:sz w:val="26"/>
                <w:szCs w:val="26"/>
              </w:rPr>
              <w:lastRenderedPageBreak/>
              <w:t>應由基金管理委員會依下列程序辦理：</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一、年度開始前應訂定運用方針編製收支預算，提本基金監理委員會覆核。</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二、年度終了應編具工作執行成果報告暨收支決算，提經本基金監理委員會審議公告之。</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條次變更，並修正由監理會主導，不再將預決算分為擬定與覆核兩階段。</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第九條　本基金會計事務之處理，應依會計法規定訂定會計制度。</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七</w:t>
            </w:r>
            <w:r>
              <w:rPr>
                <w:rFonts w:ascii="新細明體" w:eastAsia="新細明體" w:hAnsi="新細明體" w:hint="eastAsia"/>
                <w:sz w:val="26"/>
                <w:szCs w:val="26"/>
              </w:rPr>
              <w:t>條　本基金會計事務之處理，應依會計法規定訂定會計制度。</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第十條　本基金</w:t>
            </w:r>
            <w:proofErr w:type="gramStart"/>
            <w:r>
              <w:rPr>
                <w:rFonts w:ascii="新細明體" w:eastAsia="新細明體" w:hAnsi="新細明體" w:hint="eastAsia"/>
                <w:sz w:val="26"/>
                <w:szCs w:val="26"/>
              </w:rPr>
              <w:t>採</w:t>
            </w:r>
            <w:proofErr w:type="gramEnd"/>
            <w:r>
              <w:rPr>
                <w:rFonts w:ascii="新細明體" w:eastAsia="新細明體" w:hAnsi="新細明體" w:hint="eastAsia"/>
                <w:sz w:val="26"/>
                <w:szCs w:val="26"/>
              </w:rPr>
              <w:t>統一管理，按政府別、身分別，</w:t>
            </w:r>
            <w:proofErr w:type="gramStart"/>
            <w:r>
              <w:rPr>
                <w:rFonts w:ascii="新細明體" w:eastAsia="新細明體" w:hAnsi="新細明體" w:hint="eastAsia"/>
                <w:sz w:val="26"/>
                <w:szCs w:val="26"/>
              </w:rPr>
              <w:t>分戶設帳</w:t>
            </w:r>
            <w:proofErr w:type="gramEnd"/>
            <w:r>
              <w:rPr>
                <w:rFonts w:ascii="新細明體" w:eastAsia="新細明體" w:hAnsi="新細明體" w:hint="eastAsia"/>
                <w:sz w:val="26"/>
                <w:szCs w:val="26"/>
              </w:rPr>
              <w:t>，分別以收支平衡為原則，年度決算如有賸餘，全數撥為基金。如基金不足支付時，應由基金檢討調整繳費費率，或由政府撥款補助，並由政府負最後支付責任。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本基金於民國○○年○○月○○日前之收益不足暨潛藏負債，應由中央政府定期檢討處理。</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本基金運用績效應按季公布，基金各項投資標的與買賣紀錄應於九十</w:t>
            </w:r>
            <w:r>
              <w:rPr>
                <w:rFonts w:ascii="新細明體" w:eastAsia="新細明體" w:hAnsi="新細明體" w:hint="eastAsia"/>
                <w:sz w:val="26"/>
                <w:szCs w:val="26"/>
                <w:u w:val="single"/>
              </w:rPr>
              <w:lastRenderedPageBreak/>
              <w:t>日後自動公布。</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w:t>
            </w:r>
            <w:r>
              <w:rPr>
                <w:rFonts w:ascii="新細明體" w:eastAsia="新細明體" w:hAnsi="新細明體" w:hint="eastAsia"/>
                <w:sz w:val="26"/>
                <w:szCs w:val="26"/>
                <w:u w:val="single"/>
              </w:rPr>
              <w:t>八</w:t>
            </w:r>
            <w:r>
              <w:rPr>
                <w:rFonts w:ascii="新細明體" w:eastAsia="新細明體" w:hAnsi="新細明體" w:hint="eastAsia"/>
                <w:sz w:val="26"/>
                <w:szCs w:val="26"/>
              </w:rPr>
              <w:t>條　本基金</w:t>
            </w:r>
            <w:proofErr w:type="gramStart"/>
            <w:r>
              <w:rPr>
                <w:rFonts w:ascii="新細明體" w:eastAsia="新細明體" w:hAnsi="新細明體" w:hint="eastAsia"/>
                <w:sz w:val="26"/>
                <w:szCs w:val="26"/>
              </w:rPr>
              <w:t>採</w:t>
            </w:r>
            <w:proofErr w:type="gramEnd"/>
            <w:r>
              <w:rPr>
                <w:rFonts w:ascii="新細明體" w:eastAsia="新細明體" w:hAnsi="新細明體" w:hint="eastAsia"/>
                <w:sz w:val="26"/>
                <w:szCs w:val="26"/>
              </w:rPr>
              <w:t>統一管理，按政府別、身分別，</w:t>
            </w:r>
            <w:proofErr w:type="gramStart"/>
            <w:r>
              <w:rPr>
                <w:rFonts w:ascii="新細明體" w:eastAsia="新細明體" w:hAnsi="新細明體" w:hint="eastAsia"/>
                <w:sz w:val="26"/>
                <w:szCs w:val="26"/>
              </w:rPr>
              <w:t>分戶設帳</w:t>
            </w:r>
            <w:proofErr w:type="gramEnd"/>
            <w:r>
              <w:rPr>
                <w:rFonts w:ascii="新細明體" w:eastAsia="新細明體" w:hAnsi="新細明體" w:hint="eastAsia"/>
                <w:sz w:val="26"/>
                <w:szCs w:val="26"/>
              </w:rPr>
              <w:t>，分別以收支平衡為原則，年度決算如有賸餘，全數撥為基金。如基金不足支付時，應由基金檢討調整繳費費率，或由政府撥款補助，並由政府負最後支付責任。</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本基金成立初期，係</w:t>
            </w:r>
            <w:proofErr w:type="gramStart"/>
            <w:r>
              <w:rPr>
                <w:rFonts w:ascii="新細明體" w:eastAsia="新細明體" w:hAnsi="新細明體" w:hint="eastAsia"/>
                <w:sz w:val="26"/>
                <w:szCs w:val="26"/>
              </w:rPr>
              <w:t>採不</w:t>
            </w:r>
            <w:proofErr w:type="gramEnd"/>
            <w:r>
              <w:rPr>
                <w:rFonts w:ascii="新細明體" w:eastAsia="新細明體" w:hAnsi="新細明體" w:hint="eastAsia"/>
                <w:sz w:val="26"/>
                <w:szCs w:val="26"/>
              </w:rPr>
              <w:t>足額</w:t>
            </w:r>
            <w:proofErr w:type="gramStart"/>
            <w:r>
              <w:rPr>
                <w:rFonts w:ascii="新細明體" w:eastAsia="新細明體" w:hAnsi="新細明體" w:hint="eastAsia"/>
                <w:sz w:val="26"/>
                <w:szCs w:val="26"/>
              </w:rPr>
              <w:t>提撥</w:t>
            </w:r>
            <w:proofErr w:type="gramEnd"/>
            <w:r>
              <w:rPr>
                <w:rFonts w:ascii="新細明體" w:eastAsia="新細明體" w:hAnsi="新細明體" w:hint="eastAsia"/>
                <w:sz w:val="26"/>
                <w:szCs w:val="26"/>
              </w:rPr>
              <w:t>，以求軍公教人員接納新制，至九十七年底</w:t>
            </w:r>
            <w:proofErr w:type="gramStart"/>
            <w:r>
              <w:rPr>
                <w:rFonts w:ascii="新細明體" w:eastAsia="新細明體" w:hAnsi="新細明體" w:hint="eastAsia"/>
                <w:sz w:val="26"/>
                <w:szCs w:val="26"/>
              </w:rPr>
              <w:t>第四次精算</w:t>
            </w:r>
            <w:proofErr w:type="gramEnd"/>
            <w:r>
              <w:rPr>
                <w:rFonts w:ascii="新細明體" w:eastAsia="新細明體" w:hAnsi="新細明體" w:hint="eastAsia"/>
                <w:sz w:val="26"/>
                <w:szCs w:val="26"/>
              </w:rPr>
              <w:t>已產生鉅額潛藏負債，也衍生新生世代對本制度之疑慮，為維持基金參加人之信賴，</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以</w:t>
            </w:r>
            <w:proofErr w:type="gramStart"/>
            <w:r>
              <w:rPr>
                <w:rFonts w:ascii="新細明體" w:eastAsia="新細明體" w:hAnsi="新細明體" w:hint="eastAsia"/>
                <w:sz w:val="26"/>
                <w:szCs w:val="26"/>
              </w:rPr>
              <w:t>第四次精算</w:t>
            </w:r>
            <w:proofErr w:type="gramEnd"/>
            <w:r>
              <w:rPr>
                <w:rFonts w:ascii="新細明體" w:eastAsia="新細明體" w:hAnsi="新細明體" w:hint="eastAsia"/>
                <w:sz w:val="26"/>
                <w:szCs w:val="26"/>
              </w:rPr>
              <w:t>結果為基準，之前的潛藏負債由中央政府定期檢討處理，之後的基金運用與費率暨支出則嚴守收支平衡之原則。</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為使基金運作恪守投資原則，建立各方共同監管機制，</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增訂財務透明作法如第三項。</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第十一條　第一條所定人員依第四條規定領取之退休金、退職酬勞金、退伍金、退休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、贍養金、撫卹金、撫慰金、資遣給與、中途離職者之退費及其孳息部分，免納所得稅。</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九</w:t>
            </w:r>
            <w:r>
              <w:rPr>
                <w:rFonts w:ascii="新細明體" w:eastAsia="新細明體" w:hAnsi="新細明體" w:hint="eastAsia"/>
                <w:sz w:val="26"/>
                <w:szCs w:val="26"/>
              </w:rPr>
              <w:t>條　第一條所定人員依第四條規定領取之退休金、退職酬勞金、退伍金、退休</w:t>
            </w:r>
            <w:proofErr w:type="gramStart"/>
            <w:r>
              <w:rPr>
                <w:rFonts w:ascii="新細明體" w:eastAsia="新細明體" w:hAnsi="新細明體" w:hint="eastAsia"/>
                <w:sz w:val="26"/>
                <w:szCs w:val="26"/>
              </w:rPr>
              <w:t>俸</w:t>
            </w:r>
            <w:proofErr w:type="gramEnd"/>
            <w:r>
              <w:rPr>
                <w:rFonts w:ascii="新細明體" w:eastAsia="新細明體" w:hAnsi="新細明體" w:hint="eastAsia"/>
                <w:sz w:val="26"/>
                <w:szCs w:val="26"/>
              </w:rPr>
              <w:t>、贍養金、撫卹金、撫慰金、資遣給與、中途離職者之退費及其孳息部分，免納所得稅。</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第十二條　（政府責任）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監督管理</w:t>
            </w:r>
            <w:r>
              <w:rPr>
                <w:rFonts w:ascii="新細明體" w:eastAsia="新細明體" w:hAnsi="新細明體" w:hint="eastAsia"/>
                <w:sz w:val="26"/>
                <w:szCs w:val="26"/>
              </w:rPr>
              <w:t>本基金所需之費用，由政府編列預算支付。</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w:t>
            </w:r>
            <w:r>
              <w:rPr>
                <w:rFonts w:ascii="新細明體" w:eastAsia="新細明體" w:hAnsi="新細明體" w:hint="eastAsia"/>
                <w:sz w:val="26"/>
                <w:szCs w:val="26"/>
              </w:rPr>
              <w:t>條　本基金之管理及監理所需之費用，由政府編列預算支付。</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修正為「監督管理」。</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本條例施行細則，由考試院會同行政院定之。</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十一</w:t>
            </w:r>
            <w:r>
              <w:rPr>
                <w:rFonts w:ascii="新細明體" w:eastAsia="新細明體" w:hAnsi="新細明體" w:hint="eastAsia"/>
                <w:sz w:val="26"/>
                <w:szCs w:val="26"/>
              </w:rPr>
              <w:t>條　本條例施行細則，由考試院會同行政院定之。</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B807BF">
        <w:tc>
          <w:tcPr>
            <w:tcW w:w="302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第十四條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本條例施行日期，由考試院會同行政院以命令定之。</w:t>
            </w:r>
          </w:p>
        </w:tc>
        <w:tc>
          <w:tcPr>
            <w:tcW w:w="3021"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w:t>
            </w:r>
            <w:r>
              <w:rPr>
                <w:rFonts w:ascii="新細明體" w:eastAsia="新細明體" w:hAnsi="新細明體" w:hint="eastAsia"/>
                <w:sz w:val="26"/>
                <w:szCs w:val="26"/>
                <w:u w:val="single"/>
              </w:rPr>
              <w:t>十二</w:t>
            </w:r>
            <w:r>
              <w:rPr>
                <w:rFonts w:ascii="新細明體" w:eastAsia="新細明體" w:hAnsi="新細明體" w:hint="eastAsia"/>
                <w:sz w:val="26"/>
                <w:szCs w:val="26"/>
              </w:rPr>
              <w:t>條　本條例施行日期，由考試院會同行政院以命令定之。</w:t>
            </w:r>
          </w:p>
        </w:tc>
        <w:tc>
          <w:tcPr>
            <w:tcW w:w="3019"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bl>
    <w:p w:rsidR="00BF5B10" w:rsidRDefault="00BF5B10" w:rsidP="00BF5B10">
      <w:pPr>
        <w:rPr>
          <w:rFonts w:ascii="新細明體" w:eastAsia="新細明體" w:hAnsi="新細明體" w:cs="Times New Roman"/>
          <w:noProof/>
          <w:sz w:val="26"/>
          <w:szCs w:val="26"/>
        </w:rPr>
      </w:pPr>
    </w:p>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BF5B10"/>
    <w:p w:rsidR="00BF5B10" w:rsidRDefault="00E14273">
      <w:r w:rsidRPr="004D0201">
        <w:rPr>
          <w:rFonts w:ascii="新細明體" w:eastAsia="新細明體" w:hAnsi="新細明體" w:cs="新細明體"/>
          <w:b/>
          <w:bCs/>
          <w:noProof/>
          <w:color w:val="3F3F41"/>
          <w:kern w:val="36"/>
          <w:sz w:val="39"/>
          <w:szCs w:val="39"/>
        </w:rPr>
        <w:lastRenderedPageBreak/>
        <mc:AlternateContent>
          <mc:Choice Requires="wps">
            <w:drawing>
              <wp:anchor distT="45720" distB="45720" distL="114300" distR="114300" simplePos="0" relativeHeight="251669504" behindDoc="0" locked="0" layoutInCell="1" allowOverlap="1" wp14:anchorId="2851A5FD" wp14:editId="5F599D38">
                <wp:simplePos x="0" y="0"/>
                <wp:positionH relativeFrom="column">
                  <wp:posOffset>5905500</wp:posOffset>
                </wp:positionH>
                <wp:positionV relativeFrom="paragraph">
                  <wp:posOffset>6985</wp:posOffset>
                </wp:positionV>
                <wp:extent cx="333375" cy="1404620"/>
                <wp:effectExtent l="0" t="0" r="2857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solidFill>
                            <a:srgbClr val="000000"/>
                          </a:solidFill>
                          <a:miter lim="800000"/>
                          <a:headEnd/>
                          <a:tailEnd/>
                        </a:ln>
                      </wps:spPr>
                      <wps:txbx>
                        <w:txbxContent>
                          <w:p w:rsidR="00AE0334" w:rsidRPr="004D0201" w:rsidRDefault="00AE0334" w:rsidP="004D0201">
                            <w:pPr>
                              <w:rPr>
                                <w:sz w:val="30"/>
                                <w:szCs w:val="30"/>
                              </w:rPr>
                            </w:pPr>
                            <w:r w:rsidRPr="004D0201">
                              <w:rPr>
                                <w:rFonts w:hint="eastAsia"/>
                                <w:sz w:val="30"/>
                                <w:szCs w:val="30"/>
                              </w:rPr>
                              <w:t>附</w:t>
                            </w:r>
                          </w:p>
                          <w:p w:rsidR="00AE0334" w:rsidRPr="004D0201" w:rsidRDefault="00AE0334" w:rsidP="004D0201">
                            <w:pPr>
                              <w:rPr>
                                <w:sz w:val="30"/>
                                <w:szCs w:val="30"/>
                              </w:rPr>
                            </w:pPr>
                            <w:r w:rsidRPr="004D0201">
                              <w:rPr>
                                <w:rFonts w:hint="eastAsia"/>
                                <w:sz w:val="30"/>
                                <w:szCs w:val="30"/>
                              </w:rPr>
                              <w:t>件</w:t>
                            </w:r>
                          </w:p>
                          <w:p w:rsidR="00AE0334" w:rsidRPr="004D0201" w:rsidRDefault="00412ACF" w:rsidP="004D0201">
                            <w:pPr>
                              <w:rPr>
                                <w:sz w:val="30"/>
                                <w:szCs w:val="30"/>
                              </w:rPr>
                            </w:pPr>
                            <w:r>
                              <w:rPr>
                                <w:rFonts w:hint="eastAsia"/>
                                <w:sz w:val="30"/>
                                <w:szCs w:val="30"/>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1A5FD" id="_x0000_s1033" type="#_x0000_t202" style="position:absolute;margin-left:465pt;margin-top:.55pt;width:2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">
                <v:textbox style="mso-fit-shape-to-text:t">
                  <w:txbxContent>
                    <w:p w:rsidR="00AE0334" w:rsidRPr="004D0201" w:rsidRDefault="00AE0334" w:rsidP="004D0201">
                      <w:pPr>
                        <w:rPr>
                          <w:sz w:val="30"/>
                          <w:szCs w:val="30"/>
                        </w:rPr>
                      </w:pPr>
                      <w:r w:rsidRPr="004D0201">
                        <w:rPr>
                          <w:rFonts w:hint="eastAsia"/>
                          <w:sz w:val="30"/>
                          <w:szCs w:val="30"/>
                        </w:rPr>
                        <w:t>附</w:t>
                      </w:r>
                    </w:p>
                    <w:p w:rsidR="00AE0334" w:rsidRPr="004D0201" w:rsidRDefault="00AE0334" w:rsidP="004D0201">
                      <w:pPr>
                        <w:rPr>
                          <w:sz w:val="30"/>
                          <w:szCs w:val="30"/>
                        </w:rPr>
                      </w:pPr>
                      <w:r w:rsidRPr="004D0201">
                        <w:rPr>
                          <w:rFonts w:hint="eastAsia"/>
                          <w:sz w:val="30"/>
                          <w:szCs w:val="30"/>
                        </w:rPr>
                        <w:t>件</w:t>
                      </w:r>
                    </w:p>
                    <w:p w:rsidR="00AE0334" w:rsidRPr="004D0201" w:rsidRDefault="00412ACF" w:rsidP="004D0201">
                      <w:pPr>
                        <w:rPr>
                          <w:sz w:val="30"/>
                          <w:szCs w:val="30"/>
                        </w:rPr>
                      </w:pPr>
                      <w:r>
                        <w:rPr>
                          <w:rFonts w:hint="eastAsia"/>
                          <w:sz w:val="30"/>
                          <w:szCs w:val="30"/>
                        </w:rPr>
                        <w:t>四</w:t>
                      </w:r>
                    </w:p>
                  </w:txbxContent>
                </v:textbox>
                <w10:wrap type="square"/>
              </v:shape>
            </w:pict>
          </mc:Fallback>
        </mc:AlternateContent>
      </w:r>
    </w:p>
    <w:p w:rsidR="00BF5B10" w:rsidRPr="00F86B75" w:rsidRDefault="00F86B75" w:rsidP="00F86B75">
      <w:pPr>
        <w:jc w:val="center"/>
        <w:rPr>
          <w:b/>
          <w:sz w:val="30"/>
          <w:szCs w:val="30"/>
          <w:u w:val="single"/>
        </w:rPr>
      </w:pPr>
      <w:r w:rsidRPr="00F86B75">
        <w:rPr>
          <w:rFonts w:ascii="新細明體" w:eastAsia="新細明體" w:hAnsi="新細明體" w:hint="eastAsia"/>
          <w:b/>
          <w:sz w:val="30"/>
          <w:szCs w:val="30"/>
          <w:u w:val="single"/>
        </w:rPr>
        <w:t>公務人員退休撫</w:t>
      </w:r>
      <w:proofErr w:type="gramStart"/>
      <w:r w:rsidRPr="00F86B75">
        <w:rPr>
          <w:rFonts w:ascii="新細明體" w:eastAsia="新細明體" w:hAnsi="新細明體" w:hint="eastAsia"/>
          <w:b/>
          <w:sz w:val="30"/>
          <w:szCs w:val="30"/>
          <w:u w:val="single"/>
        </w:rPr>
        <w:t>卹</w:t>
      </w:r>
      <w:proofErr w:type="gramEnd"/>
      <w:r w:rsidRPr="00F86B75">
        <w:rPr>
          <w:rFonts w:ascii="新細明體" w:eastAsia="新細明體" w:hAnsi="新細明體" w:hint="eastAsia"/>
          <w:b/>
          <w:sz w:val="30"/>
          <w:szCs w:val="30"/>
          <w:u w:val="single"/>
        </w:rPr>
        <w:t>基金監理委員會組織條例修正草案</w:t>
      </w:r>
    </w:p>
    <w:p w:rsidR="00BF5B10" w:rsidRDefault="00BF5B10" w:rsidP="00582241">
      <w:pPr>
        <w:pStyle w:val="a4"/>
        <w:ind w:leftChars="54" w:left="130" w:right="120" w:firstLineChars="0" w:firstLine="0"/>
        <w:rPr>
          <w:rFonts w:ascii="新細明體" w:eastAsia="新細明體" w:hAnsi="新細明體"/>
          <w:sz w:val="26"/>
          <w:szCs w:val="26"/>
        </w:rPr>
      </w:pPr>
      <w:r>
        <w:rPr>
          <w:rFonts w:ascii="新細明體" w:eastAsia="新細明體" w:hAnsi="新細明體" w:hint="eastAsia"/>
          <w:sz w:val="26"/>
          <w:szCs w:val="26"/>
        </w:rPr>
        <w:t>案由：鑑於公務人員退休撫卹基金成立</w:t>
      </w:r>
      <w:r w:rsidR="0034056A">
        <w:rPr>
          <w:rFonts w:ascii="新細明體" w:eastAsia="新細明體" w:hAnsi="新細明體" w:hint="eastAsia"/>
          <w:sz w:val="26"/>
          <w:szCs w:val="26"/>
        </w:rPr>
        <w:t>二</w:t>
      </w:r>
      <w:r>
        <w:rPr>
          <w:rFonts w:ascii="新細明體" w:eastAsia="新細明體" w:hAnsi="新細明體" w:hint="eastAsia"/>
          <w:sz w:val="26"/>
          <w:szCs w:val="26"/>
        </w:rPr>
        <w:t>十多年來，績效屢遭輿論批評，爰參考國內外公共退休基金監督管理經驗，調整目前二元並立（管理、監理）的組織型態，並建立績效獎勵機制，以促使基金運作能夠有效提昇，俾免績效低迷造成基金參加人之惶恐及各級政府之負擔；提出「公務人員退休撫卹基金監理委員會組織條例修正草案」，並廢止「公務人員退休撫卹基金管理委員會組織條例」。是否有當，敬請公決。</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說明：公務人員退撫基金關係軍公教現職人員暨過去二十多年退休人員之權益，然自該基金成立以來，由於費率偏低、基金運用績效不佳，使得基金淨值遠低於基金當初設立時之預估，衍生基金參加人對於退撫制度能否永續存在之疑慮。</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 xml:space="preserve">      政府財政困窘，加以大幅提高費率在實務上有其困難，其他開源手段應一併考量，而改良基金監理管理機構，提昇運用績效，顯為迫切工作。根據精算，每提高收益率1%長期之效果，接近提高2~3%費率之效果。</w:t>
      </w:r>
    </w:p>
    <w:p w:rsidR="00BF5B10" w:rsidRDefault="00BF5B10" w:rsidP="00BF5B10">
      <w:pPr>
        <w:pStyle w:val="a3"/>
        <w:ind w:left="783" w:hanging="783"/>
        <w:rPr>
          <w:rFonts w:ascii="新細明體" w:eastAsia="新細明體" w:hAnsi="新細明體"/>
          <w:sz w:val="26"/>
          <w:szCs w:val="26"/>
        </w:rPr>
      </w:pPr>
      <w:r>
        <w:rPr>
          <w:rFonts w:ascii="新細明體" w:eastAsia="新細明體" w:hAnsi="新細明體" w:hint="eastAsia"/>
          <w:sz w:val="26"/>
          <w:szCs w:val="26"/>
        </w:rPr>
        <w:t xml:space="preserve">      為期提振政府效能，避免製造龐大國債，爰提出重大組織變革，以期立竿見影，修正重點如下：</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一、合併基金監理會、管理會之職掌及任務（草案第二條、第三條）。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二、委員編制參考基金現有參加人員比例而定，並尊重各身份別之團結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組織（草案第四條）。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三、規定主任委員、副主任委員之充任條件（草案第四條）。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四、規定委員之任期資格及忠實義務（草案第五條、第六條）。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五、將迴避條款及旋轉門條款予以正面表列入法（草案第七條、第八條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六、整併現有基金內部辦事組織及公務人員編制（草案第九條至十四條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七、對委員會議召開、出席訂定規定（草案第十五條）。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八、為業務需要，訂定聘用專業人才之員額及類別（草案第十六條）。</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九、訂定績效獎金制度，並授權考試院會銜、行政院核定其辦法（草案</w:t>
      </w:r>
    </w:p>
    <w:p w:rsidR="00BF5B10" w:rsidRDefault="00BF5B10" w:rsidP="00BF5B10">
      <w:pPr>
        <w:pStyle w:val="ab"/>
        <w:ind w:leftChars="298" w:left="979" w:hanging="261"/>
        <w:rPr>
          <w:rFonts w:ascii="新細明體" w:eastAsia="新細明體" w:hAnsi="新細明體"/>
          <w:sz w:val="26"/>
          <w:szCs w:val="26"/>
        </w:rPr>
      </w:pPr>
      <w:r>
        <w:rPr>
          <w:rFonts w:ascii="新細明體" w:eastAsia="新細明體" w:hAnsi="新細明體" w:hint="eastAsia"/>
          <w:sz w:val="26"/>
          <w:szCs w:val="26"/>
        </w:rPr>
        <w:t xml:space="preserve">    第十七條）。</w:t>
      </w:r>
    </w:p>
    <w:p w:rsidR="00BF5B10" w:rsidRDefault="00BF5B10" w:rsidP="00582241">
      <w:pPr>
        <w:jc w:val="center"/>
        <w:rPr>
          <w:rFonts w:ascii="新細明體" w:eastAsia="新細明體" w:hAnsi="新細明體"/>
          <w:sz w:val="26"/>
          <w:szCs w:val="26"/>
        </w:rPr>
      </w:pPr>
      <w:r>
        <w:rPr>
          <w:rFonts w:ascii="新細明體" w:eastAsia="新細明體" w:hAnsi="新細明體" w:hint="eastAsia"/>
          <w:sz w:val="26"/>
          <w:szCs w:val="26"/>
        </w:rPr>
        <w:lastRenderedPageBreak/>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基金監理委員會組織條例修正草案對照表</w:t>
      </w:r>
      <w:r w:rsidR="00582241">
        <w:rPr>
          <w:rFonts w:ascii="新細明體" w:eastAsia="新細明體" w:hAnsi="新細明體" w:hint="eastAsia"/>
          <w:sz w:val="26"/>
          <w:szCs w:val="26"/>
        </w:rPr>
        <w:t>如後頁</w:t>
      </w:r>
    </w:p>
    <w:tbl>
      <w:tblPr>
        <w:tblStyle w:val="af1"/>
        <w:tblW w:w="0" w:type="auto"/>
        <w:tblLook w:val="04A0" w:firstRow="1" w:lastRow="0" w:firstColumn="1" w:lastColumn="0" w:noHBand="0" w:noVBand="1"/>
      </w:tblPr>
      <w:tblGrid>
        <w:gridCol w:w="3025"/>
        <w:gridCol w:w="3020"/>
        <w:gridCol w:w="3017"/>
      </w:tblGrid>
      <w:tr w:rsidR="00BF5B10" w:rsidTr="00582241">
        <w:trPr>
          <w:tblHeader/>
        </w:trPr>
        <w:tc>
          <w:tcPr>
            <w:tcW w:w="3042" w:type="dxa"/>
            <w:hideMark/>
          </w:tcPr>
          <w:p w:rsidR="00BF5B10" w:rsidRDefault="00BF5B10" w:rsidP="00582241">
            <w:pPr>
              <w:pStyle w:val="a5"/>
              <w:ind w:left="312" w:right="120" w:hanging="192"/>
              <w:jc w:val="center"/>
              <w:rPr>
                <w:rFonts w:ascii="新細明體" w:eastAsia="新細明體" w:hAnsi="新細明體"/>
                <w:sz w:val="26"/>
                <w:szCs w:val="26"/>
              </w:rPr>
            </w:pPr>
            <w:r>
              <w:rPr>
                <w:rFonts w:ascii="新細明體" w:eastAsia="新細明體" w:hAnsi="新細明體" w:hint="eastAsia"/>
                <w:sz w:val="26"/>
                <w:szCs w:val="26"/>
              </w:rPr>
              <w:t>修正條文</w:t>
            </w:r>
          </w:p>
        </w:tc>
        <w:tc>
          <w:tcPr>
            <w:tcW w:w="3043" w:type="dxa"/>
            <w:hideMark/>
          </w:tcPr>
          <w:p w:rsidR="00BF5B10" w:rsidRDefault="00BF5B10" w:rsidP="00582241">
            <w:pPr>
              <w:pStyle w:val="a5"/>
              <w:ind w:left="642" w:right="120" w:hanging="522"/>
              <w:jc w:val="center"/>
              <w:rPr>
                <w:rFonts w:ascii="新細明體" w:eastAsia="新細明體" w:hAnsi="新細明體"/>
                <w:sz w:val="26"/>
                <w:szCs w:val="26"/>
              </w:rPr>
            </w:pPr>
            <w:r>
              <w:rPr>
                <w:rFonts w:ascii="新細明體" w:eastAsia="新細明體" w:hAnsi="新細明體" w:hint="eastAsia"/>
                <w:sz w:val="26"/>
                <w:szCs w:val="26"/>
              </w:rPr>
              <w:t>現行條文</w:t>
            </w:r>
          </w:p>
        </w:tc>
        <w:tc>
          <w:tcPr>
            <w:tcW w:w="3043" w:type="dxa"/>
            <w:hideMark/>
          </w:tcPr>
          <w:p w:rsidR="00BF5B10" w:rsidRDefault="00BF5B10" w:rsidP="00582241">
            <w:pPr>
              <w:pStyle w:val="a5"/>
              <w:ind w:left="642" w:right="120" w:hanging="522"/>
              <w:jc w:val="center"/>
              <w:rPr>
                <w:rFonts w:ascii="新細明體" w:eastAsia="新細明體" w:hAnsi="新細明體"/>
                <w:sz w:val="26"/>
                <w:szCs w:val="26"/>
              </w:rPr>
            </w:pPr>
            <w:r>
              <w:rPr>
                <w:rFonts w:ascii="新細明體" w:eastAsia="新細明體" w:hAnsi="新細明體" w:hint="eastAsia"/>
                <w:sz w:val="26"/>
                <w:szCs w:val="26"/>
              </w:rPr>
              <w:t>說明</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本條例依公務人員退休撫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r>
              <w:rPr>
                <w:rFonts w:ascii="新細明體" w:eastAsia="新細明體" w:hAnsi="新細明體" w:hint="eastAsia"/>
                <w:sz w:val="26"/>
                <w:szCs w:val="26"/>
                <w:u w:val="single"/>
              </w:rPr>
              <w:t>監督</w:t>
            </w:r>
            <w:r>
              <w:rPr>
                <w:rFonts w:ascii="新細明體" w:eastAsia="新細明體" w:hAnsi="新細明體" w:hint="eastAsia"/>
                <w:sz w:val="26"/>
                <w:szCs w:val="26"/>
              </w:rPr>
              <w:t>管理條例第二條規定制定之。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第一條　（法源依據）</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本條例依公務人員退休撫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基金管理條例第二條規定制定之。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本條配合管理條例修正，一併修正法律名稱。</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（任務）</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基金監理委員會（以下稱本會）隸屬於考試院，</w:t>
            </w:r>
            <w:r>
              <w:rPr>
                <w:rFonts w:ascii="新細明體" w:eastAsia="新細明體" w:hAnsi="新細明體" w:hint="eastAsia"/>
                <w:sz w:val="26"/>
                <w:szCs w:val="26"/>
                <w:u w:val="single"/>
              </w:rPr>
              <w:t>負責公務人員退撫基金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、管理、運用及監督。</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第二條　（任務）</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基金監理委員會（以下簡稱本會），隸屬考試院，負責公務人員退休撫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基金收支、管理、運用之審議、監督及考核。</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依據公務人員退休撫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基金監督管理條例（新）第二條規定。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第三條　（職掌）</w:t>
            </w:r>
          </w:p>
          <w:p w:rsidR="00BF5B10" w:rsidRDefault="00BF5B10">
            <w:pPr>
              <w:rPr>
                <w:rFonts w:ascii="新細明體" w:eastAsia="新細明體" w:hAnsi="新細明體"/>
                <w:sz w:val="26"/>
                <w:szCs w:val="26"/>
                <w:u w:val="single"/>
              </w:rPr>
            </w:pPr>
            <w:r>
              <w:rPr>
                <w:rFonts w:ascii="新細明體" w:eastAsia="新細明體" w:hAnsi="新細明體" w:hint="eastAsia"/>
                <w:sz w:val="26"/>
                <w:szCs w:val="26"/>
                <w:u w:val="single"/>
              </w:rPr>
              <w:t>本會掌理下列事項：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一、關於公務人員退休撫</w:t>
            </w:r>
            <w:proofErr w:type="gramStart"/>
            <w:r>
              <w:rPr>
                <w:rFonts w:ascii="新細明體" w:eastAsia="新細明體" w:hAnsi="新細明體" w:hint="eastAsia"/>
                <w:sz w:val="26"/>
                <w:szCs w:val="26"/>
                <w:u w:val="single"/>
              </w:rPr>
              <w:t>卹</w:t>
            </w:r>
            <w:proofErr w:type="gramEnd"/>
            <w:r>
              <w:rPr>
                <w:rFonts w:ascii="新細明體" w:eastAsia="新細明體" w:hAnsi="新細明體" w:hint="eastAsia"/>
                <w:sz w:val="26"/>
                <w:szCs w:val="26"/>
                <w:u w:val="single"/>
              </w:rPr>
              <w:t>基金</w:t>
            </w:r>
            <w:proofErr w:type="gramStart"/>
            <w:r>
              <w:rPr>
                <w:rFonts w:ascii="新細明體" w:eastAsia="新細明體" w:hAnsi="新細明體" w:hint="eastAsia"/>
                <w:sz w:val="26"/>
                <w:szCs w:val="26"/>
                <w:u w:val="single"/>
              </w:rPr>
              <w:t>之撥繳</w:t>
            </w:r>
            <w:proofErr w:type="gramEnd"/>
            <w:r>
              <w:rPr>
                <w:rFonts w:ascii="新細明體" w:eastAsia="新細明體" w:hAnsi="新細明體" w:hint="eastAsia"/>
                <w:sz w:val="26"/>
                <w:szCs w:val="26"/>
                <w:u w:val="single"/>
              </w:rPr>
              <w:t>、管理及運用事項。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二、本基金整體運用績效及年度運用計畫之決定。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三、本基金委託經營年度計畫，及年度預算決算之擬定。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四、本基金投資國內外金融市場之研究分析。</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五、本基金委託國內外資產管理機構之研究及其績效分析。</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六、本基金資產配置及運用策略之</w:t>
            </w:r>
            <w:proofErr w:type="gramStart"/>
            <w:r>
              <w:rPr>
                <w:rFonts w:ascii="新細明體" w:eastAsia="新細明體" w:hAnsi="新細明體" w:hint="eastAsia"/>
                <w:sz w:val="26"/>
                <w:szCs w:val="26"/>
                <w:u w:val="single"/>
              </w:rPr>
              <w:t>研</w:t>
            </w:r>
            <w:proofErr w:type="gramEnd"/>
            <w:r>
              <w:rPr>
                <w:rFonts w:ascii="新細明體" w:eastAsia="新細明體" w:hAnsi="新細明體" w:hint="eastAsia"/>
                <w:sz w:val="26"/>
                <w:szCs w:val="26"/>
                <w:u w:val="single"/>
              </w:rPr>
              <w:t>議與執行。</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lastRenderedPageBreak/>
              <w:t>七、本基金委託金融機構之遴選及委託合約之訂定。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八、本基金運用績效評估指標及風險準則之訂定。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九、本基金年度預算及決算報告之編製及核定事項。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十、本基金整體組合風險指標之計算。</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u w:val="single"/>
              </w:rPr>
              <w:t>十一、本基金資訊作業之整體規劃、系統分析、程式設計、資料處理及其他有關資訊管理事項。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u w:val="single"/>
              </w:rPr>
              <w:t>十二、其他關於本基金業務管理及監督事項。（基金來源）</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第三條　（職掌）</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本會掌理下列事項：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基金收支、管理及運用計畫之審議事項。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基金委託經營年度計畫之審定事項。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基金管理年度預算、決算之覆核事項。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四、關於管理委員會管理退休撫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基金整體績效之考核事項。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五、關於管理委員會所提退休撫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w:t>
            </w:r>
            <w:proofErr w:type="gramStart"/>
            <w:r>
              <w:rPr>
                <w:rFonts w:ascii="新細明體" w:eastAsia="新細明體" w:hAnsi="新細明體" w:hint="eastAsia"/>
                <w:sz w:val="26"/>
                <w:szCs w:val="26"/>
              </w:rPr>
              <w:t>提撥</w:t>
            </w:r>
            <w:proofErr w:type="gramEnd"/>
            <w:r>
              <w:rPr>
                <w:rFonts w:ascii="新細明體" w:eastAsia="新細明體" w:hAnsi="新細明體" w:hint="eastAsia"/>
                <w:sz w:val="26"/>
                <w:szCs w:val="26"/>
              </w:rPr>
              <w:t>費率及其幅度調整案之</w:t>
            </w:r>
            <w:r>
              <w:rPr>
                <w:rFonts w:ascii="新細明體" w:eastAsia="新細明體" w:hAnsi="新細明體" w:hint="eastAsia"/>
                <w:sz w:val="26"/>
                <w:szCs w:val="26"/>
              </w:rPr>
              <w:lastRenderedPageBreak/>
              <w:t>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六、關於公務人員退休撫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基金給付爭議之審議事項。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七、其他有關公務人員退休撫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基金業務監督事項。</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參考原基金管理會、監理會條例第三條及勞工退休基金監理委員會組織法第三條規定增修。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第四條　（委員編制）</w:t>
            </w:r>
          </w:p>
          <w:p w:rsidR="00BF5B10" w:rsidRDefault="00BF5B10">
            <w:pPr>
              <w:pStyle w:val="a7"/>
              <w:ind w:leftChars="0" w:left="783" w:right="120" w:firstLine="522"/>
              <w:rPr>
                <w:rFonts w:ascii="新細明體" w:eastAsia="新細明體" w:hAnsi="新細明體"/>
                <w:sz w:val="26"/>
                <w:szCs w:val="26"/>
              </w:rPr>
            </w:pPr>
            <w:r>
              <w:rPr>
                <w:rFonts w:ascii="新細明體" w:eastAsia="新細明體" w:hAnsi="新細明體" w:hint="eastAsia"/>
                <w:sz w:val="26"/>
                <w:szCs w:val="26"/>
              </w:rPr>
              <w:t>本會置委員二十三人，下置辦事人員若干人。除主任委員一人，副主任委員兩人外，其餘委員由考試院長遴聘之，其委員代表名額如下：</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全國性公務人員協會推薦四人。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全國</w:t>
            </w:r>
            <w:r w:rsidR="0034056A">
              <w:rPr>
                <w:rFonts w:ascii="新細明體" w:eastAsia="新細明體" w:hAnsi="新細明體" w:hint="eastAsia"/>
                <w:sz w:val="26"/>
                <w:szCs w:val="26"/>
                <w:u w:val="single"/>
              </w:rPr>
              <w:t>性</w:t>
            </w:r>
            <w:r>
              <w:rPr>
                <w:rFonts w:ascii="新細明體" w:eastAsia="新細明體" w:hAnsi="新細明體" w:hint="eastAsia"/>
                <w:sz w:val="26"/>
                <w:szCs w:val="26"/>
                <w:u w:val="single"/>
              </w:rPr>
              <w:t>教師工會聯合</w:t>
            </w:r>
            <w:r w:rsidR="0034056A">
              <w:rPr>
                <w:rFonts w:ascii="新細明體" w:eastAsia="新細明體" w:hAnsi="新細明體" w:hint="eastAsia"/>
                <w:sz w:val="26"/>
                <w:szCs w:val="26"/>
                <w:u w:val="single"/>
              </w:rPr>
              <w:t>組織</w:t>
            </w:r>
            <w:r>
              <w:rPr>
                <w:rFonts w:ascii="新細明體" w:eastAsia="新細明體" w:hAnsi="新細明體" w:hint="eastAsia"/>
                <w:sz w:val="26"/>
                <w:szCs w:val="26"/>
                <w:u w:val="single"/>
              </w:rPr>
              <w:t>推薦四人。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lastRenderedPageBreak/>
              <w:t>三、</w:t>
            </w:r>
            <w:r>
              <w:rPr>
                <w:rFonts w:ascii="新細明體" w:eastAsia="新細明體" w:hAnsi="新細明體" w:hint="eastAsia"/>
                <w:sz w:val="26"/>
                <w:szCs w:val="26"/>
                <w:u w:val="single"/>
              </w:rPr>
              <w:t>考試院、司法院各推薦一人。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財政部、教育部各推薦一人，國防部推薦二人，直轄市及縣（市）政府推薦二人。</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五、</w:t>
            </w:r>
            <w:r>
              <w:rPr>
                <w:rFonts w:ascii="新細明體" w:eastAsia="新細明體" w:hAnsi="新細明體" w:hint="eastAsia"/>
                <w:sz w:val="26"/>
                <w:szCs w:val="26"/>
                <w:u w:val="single"/>
              </w:rPr>
              <w:t>學者專家四人，其中二人由全國</w:t>
            </w:r>
            <w:r w:rsidR="0034056A">
              <w:rPr>
                <w:rFonts w:ascii="新細明體" w:eastAsia="新細明體" w:hAnsi="新細明體" w:hint="eastAsia"/>
                <w:sz w:val="26"/>
                <w:szCs w:val="26"/>
                <w:u w:val="single"/>
              </w:rPr>
              <w:t>性</w:t>
            </w:r>
            <w:r>
              <w:rPr>
                <w:rFonts w:ascii="新細明體" w:eastAsia="新細明體" w:hAnsi="新細明體" w:hint="eastAsia"/>
                <w:sz w:val="26"/>
                <w:szCs w:val="26"/>
                <w:u w:val="single"/>
              </w:rPr>
              <w:t>教師工會聯合</w:t>
            </w:r>
            <w:r w:rsidR="0034056A">
              <w:rPr>
                <w:rFonts w:ascii="新細明體" w:eastAsia="新細明體" w:hAnsi="新細明體" w:hint="eastAsia"/>
                <w:sz w:val="26"/>
                <w:szCs w:val="26"/>
                <w:u w:val="single"/>
              </w:rPr>
              <w:t>組織</w:t>
            </w:r>
            <w:r>
              <w:rPr>
                <w:rFonts w:ascii="新細明體" w:eastAsia="新細明體" w:hAnsi="新細明體" w:hint="eastAsia"/>
                <w:sz w:val="26"/>
                <w:szCs w:val="26"/>
                <w:u w:val="single"/>
              </w:rPr>
              <w:t>推薦，二人由全國性公務人員協會推薦。</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主任委員，綜理會務，特任；副主任委員二人，襄理會務，其中一人比照十四職等，另外一人職務列簡任第十四職等。主任及</w:t>
            </w:r>
            <w:proofErr w:type="gramStart"/>
            <w:r>
              <w:rPr>
                <w:rFonts w:ascii="新細明體" w:eastAsia="新細明體" w:hAnsi="新細明體" w:hint="eastAsia"/>
                <w:sz w:val="26"/>
                <w:szCs w:val="26"/>
                <w:u w:val="single"/>
              </w:rPr>
              <w:t>及</w:t>
            </w:r>
            <w:proofErr w:type="gramEnd"/>
            <w:r>
              <w:rPr>
                <w:rFonts w:ascii="新細明體" w:eastAsia="新細明體" w:hAnsi="新細明體" w:hint="eastAsia"/>
                <w:sz w:val="26"/>
                <w:szCs w:val="26"/>
                <w:u w:val="single"/>
              </w:rPr>
              <w:t>副主任委員應具法律、經濟、金融、退休金管理等相關學識及經驗。</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主任委員因故無法行使職權時，除由政務副主任委員代理外，並應於三十日內任用新主任委員。</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第五條　（委員編制）</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本會置主任委員一人，由考試院副院長兼任，綜理會務；並置委員十九人至二十三人，由中央與地方政府有關機關代表及軍公教人員代表組成，</w:t>
            </w:r>
            <w:proofErr w:type="gramStart"/>
            <w:r>
              <w:rPr>
                <w:rFonts w:ascii="新細明體" w:eastAsia="新細明體" w:hAnsi="新細明體" w:hint="eastAsia"/>
                <w:sz w:val="26"/>
                <w:szCs w:val="26"/>
              </w:rPr>
              <w:t>均由考試</w:t>
            </w:r>
            <w:proofErr w:type="gramEnd"/>
            <w:r>
              <w:rPr>
                <w:rFonts w:ascii="新細明體" w:eastAsia="新細明體" w:hAnsi="新細明體" w:hint="eastAsia"/>
                <w:sz w:val="26"/>
                <w:szCs w:val="26"/>
              </w:rPr>
              <w:t>院院長聘兼；其產生辦法由考試院定之。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前項軍公教人員代表不得少於委員總額三分之一，任期二年。</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參考勞工退休基金監理委員會組織法第四條、第十條規定及行政院金融監督管理委員會組織法第八條規定增修。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第五條　（委員任期）</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本會除主任委員及副主任委員外，委員聘期為三年，期滿後仍得續聘之，惟連任以一次為限。</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代表機關或團</w:t>
            </w:r>
            <w:r>
              <w:rPr>
                <w:rFonts w:ascii="新細明體" w:eastAsia="新細明體" w:hAnsi="新細明體" w:hint="eastAsia"/>
                <w:sz w:val="26"/>
                <w:szCs w:val="26"/>
                <w:u w:val="single"/>
              </w:rPr>
              <w:lastRenderedPageBreak/>
              <w:t>體出任者，應隨其本職異動而更替。委員出缺時，應由原推薦團體或機關推薦，並依第四條</w:t>
            </w:r>
            <w:proofErr w:type="gramStart"/>
            <w:r>
              <w:rPr>
                <w:rFonts w:ascii="新細明體" w:eastAsia="新細明體" w:hAnsi="新細明體" w:hint="eastAsia"/>
                <w:sz w:val="26"/>
                <w:szCs w:val="26"/>
                <w:u w:val="single"/>
              </w:rPr>
              <w:t>遴</w:t>
            </w:r>
            <w:proofErr w:type="gramEnd"/>
            <w:r>
              <w:rPr>
                <w:rFonts w:ascii="新細明體" w:eastAsia="新細明體" w:hAnsi="新細明體" w:hint="eastAsia"/>
                <w:sz w:val="26"/>
                <w:szCs w:val="26"/>
                <w:u w:val="single"/>
              </w:rPr>
              <w:t>聘之。其繼任人員之聘期至原任人員聘期屆滿之日為止。</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本會得聘法律、財務等專家學者五至七人為顧問。</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本會除主任委員、副主任委員外，其餘委員及</w:t>
            </w:r>
            <w:proofErr w:type="gramStart"/>
            <w:r>
              <w:rPr>
                <w:rFonts w:ascii="新細明體" w:eastAsia="新細明體" w:hAnsi="新細明體" w:hint="eastAsia"/>
                <w:sz w:val="26"/>
                <w:szCs w:val="26"/>
                <w:u w:val="single"/>
              </w:rPr>
              <w:t>顧問均為無</w:t>
            </w:r>
            <w:proofErr w:type="gramEnd"/>
            <w:r>
              <w:rPr>
                <w:rFonts w:ascii="新細明體" w:eastAsia="新細明體" w:hAnsi="新細明體" w:hint="eastAsia"/>
                <w:sz w:val="26"/>
                <w:szCs w:val="26"/>
                <w:u w:val="single"/>
              </w:rPr>
              <w:t>給職，但得支給交通費及出席費。</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第九條　本會得</w:t>
            </w:r>
            <w:proofErr w:type="gramStart"/>
            <w:r>
              <w:rPr>
                <w:rFonts w:ascii="新細明體" w:eastAsia="新細明體" w:hAnsi="新細明體" w:hint="eastAsia"/>
                <w:sz w:val="26"/>
                <w:szCs w:val="26"/>
              </w:rPr>
              <w:t>遴</w:t>
            </w:r>
            <w:proofErr w:type="gramEnd"/>
            <w:r>
              <w:rPr>
                <w:rFonts w:ascii="新細明體" w:eastAsia="新細明體" w:hAnsi="新細明體" w:hint="eastAsia"/>
                <w:sz w:val="26"/>
                <w:szCs w:val="26"/>
              </w:rPr>
              <w:t>聘法律、財務等專家學者五人至七人為顧問，聘期二年；其</w:t>
            </w:r>
            <w:proofErr w:type="gramStart"/>
            <w:r>
              <w:rPr>
                <w:rFonts w:ascii="新細明體" w:eastAsia="新細明體" w:hAnsi="新細明體" w:hint="eastAsia"/>
                <w:sz w:val="26"/>
                <w:szCs w:val="26"/>
              </w:rPr>
              <w:t>遴</w:t>
            </w:r>
            <w:proofErr w:type="gramEnd"/>
            <w:r>
              <w:rPr>
                <w:rFonts w:ascii="新細明體" w:eastAsia="新細明體" w:hAnsi="新細明體" w:hint="eastAsia"/>
                <w:sz w:val="26"/>
                <w:szCs w:val="26"/>
              </w:rPr>
              <w:t>聘辦法另定之。</w:t>
            </w:r>
          </w:p>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第十條　本會委員、</w:t>
            </w:r>
            <w:proofErr w:type="gramStart"/>
            <w:r>
              <w:rPr>
                <w:rFonts w:ascii="新細明體" w:eastAsia="新細明體" w:hAnsi="新細明體" w:hint="eastAsia"/>
                <w:sz w:val="26"/>
                <w:szCs w:val="26"/>
              </w:rPr>
              <w:t>顧問均為無</w:t>
            </w:r>
            <w:proofErr w:type="gramEnd"/>
            <w:r>
              <w:rPr>
                <w:rFonts w:ascii="新細明體" w:eastAsia="新細明體" w:hAnsi="新細明體" w:hint="eastAsia"/>
                <w:sz w:val="26"/>
                <w:szCs w:val="26"/>
              </w:rPr>
              <w:t>給職。但得依規定支領交</w:t>
            </w:r>
            <w:r>
              <w:rPr>
                <w:rFonts w:ascii="新細明體" w:eastAsia="新細明體" w:hAnsi="新細明體" w:hint="eastAsia"/>
                <w:sz w:val="26"/>
                <w:szCs w:val="26"/>
              </w:rPr>
              <w:lastRenderedPageBreak/>
              <w:t>通費或出席費。</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參考勞工退休基金監理委員會組織法第五條規定增修。</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無給職係對其他委員及顧問。</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第六條　（委員資格）</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本會委員應具下列資格之</w:t>
            </w:r>
            <w:proofErr w:type="gramStart"/>
            <w:r>
              <w:rPr>
                <w:rFonts w:ascii="新細明體" w:eastAsia="新細明體" w:hAnsi="新細明體" w:hint="eastAsia"/>
                <w:sz w:val="26"/>
                <w:szCs w:val="26"/>
                <w:u w:val="single"/>
              </w:rPr>
              <w:t>一</w:t>
            </w:r>
            <w:proofErr w:type="gramEnd"/>
            <w:r>
              <w:rPr>
                <w:rFonts w:ascii="新細明體" w:eastAsia="新細明體" w:hAnsi="新細明體" w:hint="eastAsia"/>
                <w:sz w:val="26"/>
                <w:szCs w:val="26"/>
                <w:u w:val="single"/>
              </w:rPr>
              <w:t>：</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具全國性團體代表性。</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具有財務金融、經濟、法律、投資管理、風險控管、退休金管理或企業管理等相關學識或經驗者。</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本會人員應善盡忠實經營義務，遵守利益迴避原則，對於本會尚未公開之決議事項、操作計畫應行保密，且不得假借職務上之權力、機會或方法，圖謀本</w:t>
            </w:r>
            <w:r>
              <w:rPr>
                <w:rFonts w:ascii="新細明體" w:eastAsia="新細明體" w:hAnsi="新細明體" w:hint="eastAsia"/>
                <w:sz w:val="26"/>
                <w:szCs w:val="26"/>
                <w:u w:val="single"/>
              </w:rPr>
              <w:lastRenderedPageBreak/>
              <w:t>人、配偶或關係人之利益。</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參考勞工退休基金監理委員會組織法第六條規定增修。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第七條　（迴避條款）</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本會委員有下列各款情形之</w:t>
            </w:r>
            <w:proofErr w:type="gramStart"/>
            <w:r>
              <w:rPr>
                <w:rFonts w:ascii="新細明體" w:eastAsia="新細明體" w:hAnsi="新細明體" w:hint="eastAsia"/>
                <w:sz w:val="26"/>
                <w:szCs w:val="26"/>
                <w:u w:val="single"/>
              </w:rPr>
              <w:t>一</w:t>
            </w:r>
            <w:proofErr w:type="gramEnd"/>
            <w:r>
              <w:rPr>
                <w:rFonts w:ascii="新細明體" w:eastAsia="新細明體" w:hAnsi="新細明體" w:hint="eastAsia"/>
                <w:sz w:val="26"/>
                <w:szCs w:val="26"/>
                <w:u w:val="single"/>
              </w:rPr>
              <w:t>者，不得擔任本會委員；已擔任者，解聘之：</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無行為能力或限制行為能力，致不能執行職務者。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曾犯組織犯罪防制條例規定之罪，經有罪判決確定者。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三、</w:t>
            </w:r>
            <w:r>
              <w:rPr>
                <w:rFonts w:ascii="新細明體" w:eastAsia="新細明體" w:hAnsi="新細明體" w:hint="eastAsia"/>
                <w:sz w:val="26"/>
                <w:szCs w:val="26"/>
                <w:u w:val="single"/>
              </w:rPr>
              <w:t>曾犯偽造貨幣、偽造有價證券、侵占、詐欺、背信罪，經宣告有期徒刑以上之刑確定，尚未執行完畢，或執行完畢、緩刑期滿或赦免後尚未逾十年者。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曾犯偽造文書、妨害秘密、重利、損害債權罪或違反稅捐</w:t>
            </w:r>
            <w:proofErr w:type="gramStart"/>
            <w:r>
              <w:rPr>
                <w:rFonts w:ascii="新細明體" w:eastAsia="新細明體" w:hAnsi="新細明體" w:hint="eastAsia"/>
                <w:sz w:val="26"/>
                <w:szCs w:val="26"/>
                <w:u w:val="single"/>
              </w:rPr>
              <w:t>稽</w:t>
            </w:r>
            <w:proofErr w:type="gramEnd"/>
            <w:r>
              <w:rPr>
                <w:rFonts w:ascii="新細明體" w:eastAsia="新細明體" w:hAnsi="新細明體" w:hint="eastAsia"/>
                <w:sz w:val="26"/>
                <w:szCs w:val="26"/>
                <w:u w:val="single"/>
              </w:rPr>
              <w:t>徵法、商標法、專利法或其他工商管理法律規定，經宣告有期徒刑以上之刑確定，尚未執行完畢，或執行完畢、緩刑期滿或赦免後尚未逾五年者。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lastRenderedPageBreak/>
              <w:t>五、</w:t>
            </w:r>
            <w:r>
              <w:rPr>
                <w:rFonts w:ascii="新細明體" w:eastAsia="新細明體" w:hAnsi="新細明體" w:hint="eastAsia"/>
                <w:sz w:val="26"/>
                <w:szCs w:val="26"/>
                <w:u w:val="single"/>
              </w:rPr>
              <w:t>曾犯貪污罪，受刑之宣告確定者。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六、</w:t>
            </w:r>
            <w:r>
              <w:rPr>
                <w:rFonts w:ascii="新細明體" w:eastAsia="新細明體" w:hAnsi="新細明體" w:hint="eastAsia"/>
                <w:sz w:val="26"/>
                <w:szCs w:val="26"/>
                <w:u w:val="single"/>
              </w:rPr>
              <w:t>違反證券投資信託及顧問法、銀行法、金融控股公司法、信託業法、票</w:t>
            </w:r>
            <w:proofErr w:type="gramStart"/>
            <w:r>
              <w:rPr>
                <w:rFonts w:ascii="新細明體" w:eastAsia="新細明體" w:hAnsi="新細明體" w:hint="eastAsia"/>
                <w:sz w:val="26"/>
                <w:szCs w:val="26"/>
                <w:u w:val="single"/>
              </w:rPr>
              <w:t>券</w:t>
            </w:r>
            <w:proofErr w:type="gramEnd"/>
            <w:r>
              <w:rPr>
                <w:rFonts w:ascii="新細明體" w:eastAsia="新細明體" w:hAnsi="新細明體" w:hint="eastAsia"/>
                <w:sz w:val="26"/>
                <w:szCs w:val="26"/>
                <w:u w:val="single"/>
              </w:rPr>
              <w:t>金融管理法、金融資產證券化條例、不動產證券化條例、保險法、證券交易法、期貨交易法、管理外匯條例、信用合作社法、農業金融法、農會法、漁會法、洗錢防制法或其他金融管理法律，受有期徒刑以上之刑宣告確定，尚未執行完畢，或執行完畢、緩刑期滿或赦免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七、</w:t>
            </w:r>
            <w:r>
              <w:rPr>
                <w:rFonts w:ascii="新細明體" w:eastAsia="新細明體" w:hAnsi="新細明體" w:hint="eastAsia"/>
                <w:sz w:val="26"/>
                <w:szCs w:val="26"/>
                <w:u w:val="single"/>
              </w:rPr>
              <w:t>受破產之宣告，尚未復權者。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八、</w:t>
            </w:r>
            <w:r>
              <w:rPr>
                <w:rFonts w:ascii="新細明體" w:eastAsia="新細明體" w:hAnsi="新細明體" w:hint="eastAsia"/>
                <w:sz w:val="26"/>
                <w:szCs w:val="26"/>
                <w:u w:val="single"/>
              </w:rPr>
              <w:t>曾任法人宣告破產時之負責人或董事，破產終結尚未逾五年，或</w:t>
            </w:r>
            <w:proofErr w:type="gramStart"/>
            <w:r>
              <w:rPr>
                <w:rFonts w:ascii="新細明體" w:eastAsia="新細明體" w:hAnsi="新細明體" w:hint="eastAsia"/>
                <w:sz w:val="26"/>
                <w:szCs w:val="26"/>
                <w:u w:val="single"/>
              </w:rPr>
              <w:t>調協未</w:t>
            </w:r>
            <w:proofErr w:type="gramEnd"/>
            <w:r>
              <w:rPr>
                <w:rFonts w:ascii="新細明體" w:eastAsia="新細明體" w:hAnsi="新細明體" w:hint="eastAsia"/>
                <w:sz w:val="26"/>
                <w:szCs w:val="26"/>
                <w:u w:val="single"/>
              </w:rPr>
              <w:t>履行者。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九、</w:t>
            </w:r>
            <w:r>
              <w:rPr>
                <w:rFonts w:ascii="新細明體" w:eastAsia="新細明體" w:hAnsi="新細明體" w:hint="eastAsia"/>
                <w:sz w:val="26"/>
                <w:szCs w:val="26"/>
                <w:u w:val="single"/>
              </w:rPr>
              <w:t>使用票據經拒絕往來尚未恢復往來者，或恢復往來後三年內仍有存款不足退票之紀錄者。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lastRenderedPageBreak/>
              <w:t>十、</w:t>
            </w:r>
            <w:r>
              <w:rPr>
                <w:rFonts w:ascii="新細明體" w:eastAsia="新細明體" w:hAnsi="新細明體" w:hint="eastAsia"/>
                <w:sz w:val="26"/>
                <w:szCs w:val="26"/>
                <w:u w:val="single"/>
              </w:rPr>
              <w:t>有重大喪失債信情事尚未了結、或了結後尚未逾五年者。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十一、</w:t>
            </w:r>
            <w:r>
              <w:rPr>
                <w:rFonts w:ascii="新細明體" w:eastAsia="新細明體" w:hAnsi="新細明體" w:hint="eastAsia"/>
                <w:sz w:val="26"/>
                <w:szCs w:val="26"/>
                <w:u w:val="single"/>
              </w:rPr>
              <w:t>因違反證券投資信託及顧問法、銀行法、金融控股公司法、信託業法、票</w:t>
            </w:r>
            <w:proofErr w:type="gramStart"/>
            <w:r>
              <w:rPr>
                <w:rFonts w:ascii="新細明體" w:eastAsia="新細明體" w:hAnsi="新細明體" w:hint="eastAsia"/>
                <w:sz w:val="26"/>
                <w:szCs w:val="26"/>
                <w:u w:val="single"/>
              </w:rPr>
              <w:t>券</w:t>
            </w:r>
            <w:proofErr w:type="gramEnd"/>
            <w:r>
              <w:rPr>
                <w:rFonts w:ascii="新細明體" w:eastAsia="新細明體" w:hAnsi="新細明體" w:hint="eastAsia"/>
                <w:sz w:val="26"/>
                <w:szCs w:val="26"/>
                <w:u w:val="single"/>
              </w:rPr>
              <w:t>金融管理法、金融資產證券化條例、不動產證券化條例、保險法、證券交易法、期貨交易法、信用合作社法、農業金融法、農會法、漁會法或其他金融管理法律，經主管機關命令撤換或解任，尚未逾五年者。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十二、</w:t>
            </w:r>
            <w:r>
              <w:rPr>
                <w:rFonts w:ascii="新細明體" w:eastAsia="新細明體" w:hAnsi="新細明體" w:hint="eastAsia"/>
                <w:sz w:val="26"/>
                <w:szCs w:val="26"/>
                <w:u w:val="single"/>
              </w:rPr>
              <w:t>受感訓處分之裁定確定或因犯竊盜、贓物罪，受強制工作處分之宣告，尚未執行完畢，或執行完畢尚未逾五年者。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十三、</w:t>
            </w:r>
            <w:r>
              <w:rPr>
                <w:rFonts w:ascii="新細明體" w:eastAsia="新細明體" w:hAnsi="新細明體" w:hint="eastAsia"/>
                <w:sz w:val="26"/>
                <w:szCs w:val="26"/>
                <w:u w:val="single"/>
              </w:rPr>
              <w:t>現任證券投資信託事業或證券投資顧問事業之負責人、部門主管、經理人、勞工或其他利益衝突者。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十四、</w:t>
            </w:r>
            <w:r>
              <w:rPr>
                <w:rFonts w:ascii="新細明體" w:eastAsia="新細明體" w:hAnsi="新細明體" w:hint="eastAsia"/>
                <w:sz w:val="26"/>
                <w:szCs w:val="26"/>
                <w:u w:val="single"/>
              </w:rPr>
              <w:t>經委員會議決議認定有違反職務上之義務，</w:t>
            </w:r>
            <w:r>
              <w:rPr>
                <w:rFonts w:ascii="新細明體" w:eastAsia="新細明體" w:hAnsi="新細明體" w:hint="eastAsia"/>
                <w:sz w:val="26"/>
                <w:szCs w:val="26"/>
                <w:u w:val="single"/>
              </w:rPr>
              <w:lastRenderedPageBreak/>
              <w:t>情節重大或不適任者。</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參考勞工退休基金監理委員會組織法第七條規定增修。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第八條　（旋轉門條款）</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之主任委員暨副主任委員暨依本法第8、10、15條任用之主管人員，於任職期間至離職或退休日起五年內之財產應依公職人員財產申報法申報公告，且不得擔（兼）任任何與金融或以投資為業務範圍之公司或團體相關職務，或支領前述公司或團體所給付之任何報酬。</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前項所稱公司或團體不含政府單位或政府持有股權超過50%以上者。</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除第一項人員外，因處理本會之業務，而擔任本會任何相關職務，且對本會基金投資方式或標的有決策權者，皆應依本條規定辦理。</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因擔任或從事本會基金投資或管理相關業務所知悉之相關資訊，未依法令規定提供他人或為圖利自己之行為者，委員會應依刑法相關規定究責，其前該行為肇</w:t>
            </w:r>
            <w:r>
              <w:rPr>
                <w:rFonts w:ascii="新細明體" w:eastAsia="新細明體" w:hAnsi="新細明體" w:hint="eastAsia"/>
                <w:sz w:val="26"/>
                <w:szCs w:val="26"/>
                <w:u w:val="single"/>
              </w:rPr>
              <w:lastRenderedPageBreak/>
              <w:t>致基金有損失者，並應依法追究其賠償責任。</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前項所稱不得提供他人之資訊之保密</w:t>
            </w:r>
            <w:proofErr w:type="gramStart"/>
            <w:r>
              <w:rPr>
                <w:rFonts w:ascii="新細明體" w:eastAsia="新細明體" w:hAnsi="新細明體" w:hint="eastAsia"/>
                <w:sz w:val="26"/>
                <w:szCs w:val="26"/>
                <w:u w:val="single"/>
              </w:rPr>
              <w:t>期間，</w:t>
            </w:r>
            <w:proofErr w:type="gramEnd"/>
            <w:r>
              <w:rPr>
                <w:rFonts w:ascii="新細明體" w:eastAsia="新細明體" w:hAnsi="新細明體" w:hint="eastAsia"/>
                <w:sz w:val="26"/>
                <w:szCs w:val="26"/>
                <w:u w:val="single"/>
              </w:rPr>
              <w:t>於</w:t>
            </w:r>
            <w:proofErr w:type="gramStart"/>
            <w:r>
              <w:rPr>
                <w:rFonts w:ascii="新細明體" w:eastAsia="新細明體" w:hAnsi="新細明體" w:hint="eastAsia"/>
                <w:sz w:val="26"/>
                <w:szCs w:val="26"/>
                <w:u w:val="single"/>
              </w:rPr>
              <w:t>第一項同</w:t>
            </w:r>
            <w:proofErr w:type="gramEnd"/>
            <w:r>
              <w:rPr>
                <w:rFonts w:ascii="新細明體" w:eastAsia="新細明體" w:hAnsi="新細明體" w:hint="eastAsia"/>
                <w:sz w:val="26"/>
                <w:szCs w:val="26"/>
                <w:u w:val="single"/>
              </w:rPr>
              <w:t>。</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本條新增。</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第九條　本會下設各組、室，分別掌理第三條所列事務，受主任委員之指揮：</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一、業務組。</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二、財務組。</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三、資訊室。</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本會設稽核組，直接向主任委員負責。掌理以下事項</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一、</w:t>
            </w:r>
            <w:r>
              <w:rPr>
                <w:rFonts w:ascii="新細明體" w:eastAsia="新細明體" w:hAnsi="新細明體" w:hint="eastAsia"/>
                <w:sz w:val="26"/>
                <w:szCs w:val="26"/>
                <w:u w:val="single"/>
              </w:rPr>
              <w:t>本基金控管程序及稽核檢查作業之訂定。</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二、</w:t>
            </w:r>
            <w:r>
              <w:rPr>
                <w:rFonts w:ascii="新細明體" w:eastAsia="新細明體" w:hAnsi="新細明體" w:hint="eastAsia"/>
                <w:sz w:val="26"/>
                <w:szCs w:val="26"/>
                <w:u w:val="single"/>
              </w:rPr>
              <w:t>本基金年度稽核計畫之訂定及執行。</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三、</w:t>
            </w:r>
            <w:r>
              <w:rPr>
                <w:rFonts w:ascii="新細明體" w:eastAsia="新細明體" w:hAnsi="新細明體" w:hint="eastAsia"/>
                <w:sz w:val="26"/>
                <w:szCs w:val="26"/>
                <w:u w:val="single"/>
              </w:rPr>
              <w:t>本基金委託經營之監督及考核。</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四、</w:t>
            </w:r>
            <w:r>
              <w:rPr>
                <w:rFonts w:ascii="新細明體" w:eastAsia="新細明體" w:hAnsi="新細明體" w:hint="eastAsia"/>
                <w:sz w:val="26"/>
                <w:szCs w:val="26"/>
                <w:u w:val="single"/>
              </w:rPr>
              <w:t>本基金管理法令之執行及稽查。</w:t>
            </w:r>
          </w:p>
          <w:p w:rsidR="00BF5B10" w:rsidRDefault="00BF5B10">
            <w:pPr>
              <w:spacing w:line="315" w:lineRule="exact"/>
              <w:ind w:leftChars="150" w:left="622" w:rightChars="50" w:right="120" w:hangingChars="100" w:hanging="261"/>
              <w:rPr>
                <w:rFonts w:ascii="新細明體" w:eastAsia="新細明體" w:hAnsi="新細明體"/>
                <w:sz w:val="26"/>
                <w:szCs w:val="26"/>
                <w:u w:val="single"/>
              </w:rPr>
            </w:pPr>
            <w:r>
              <w:rPr>
                <w:rFonts w:ascii="新細明體" w:eastAsia="新細明體" w:hAnsi="新細明體" w:hint="eastAsia"/>
                <w:sz w:val="26"/>
                <w:szCs w:val="26"/>
              </w:rPr>
              <w:t>五、</w:t>
            </w:r>
            <w:r>
              <w:rPr>
                <w:rFonts w:ascii="新細明體" w:eastAsia="新細明體" w:hAnsi="新細明體" w:hint="eastAsia"/>
                <w:sz w:val="26"/>
                <w:szCs w:val="26"/>
                <w:u w:val="single"/>
              </w:rPr>
              <w:t>本基金委託經營績效之監督及考核事項。</w:t>
            </w:r>
          </w:p>
          <w:p w:rsidR="00BF5B10" w:rsidRDefault="00BF5B10">
            <w:pPr>
              <w:spacing w:line="315" w:lineRule="exact"/>
              <w:ind w:leftChars="150" w:left="622"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六、</w:t>
            </w:r>
            <w:r>
              <w:rPr>
                <w:rFonts w:ascii="新細明體" w:eastAsia="新細明體" w:hAnsi="新細明體" w:hint="eastAsia"/>
                <w:sz w:val="26"/>
                <w:szCs w:val="26"/>
                <w:u w:val="single"/>
              </w:rPr>
              <w:t>其他經委員會決議之特定稽核工作。</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第四條　本會設業務組及稽察組，分別掌理前條所列各款業務。</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基金管理委員會組織條例第四條規定訂定，並對稽核稽察工作加以整合並予以提昇位階。</w:t>
            </w:r>
          </w:p>
        </w:tc>
      </w:tr>
      <w:tr w:rsidR="00BF5B10" w:rsidTr="00582241">
        <w:tc>
          <w:tcPr>
            <w:tcW w:w="3042" w:type="dxa"/>
            <w:hideMark/>
          </w:tcPr>
          <w:p w:rsidR="00BF5B10" w:rsidRDefault="00BF5B10">
            <w:pPr>
              <w:spacing w:line="315" w:lineRule="exact"/>
              <w:ind w:leftChars="50" w:left="216" w:rightChars="50" w:right="120" w:hangingChars="100" w:hanging="96"/>
              <w:rPr>
                <w:rFonts w:ascii="新細明體" w:eastAsia="新細明體" w:hAnsi="新細明體"/>
                <w:sz w:val="26"/>
                <w:szCs w:val="26"/>
              </w:rPr>
            </w:pPr>
            <w:r>
              <w:rPr>
                <w:rFonts w:ascii="Times New Roman" w:eastAsia="華康細明體" w:hAnsi="Times New Roman" w:hint="eastAsia"/>
                <w:noProof/>
                <w:sz w:val="21"/>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817880</wp:posOffset>
                      </wp:positionV>
                      <wp:extent cx="5814060" cy="0"/>
                      <wp:effectExtent l="10160" t="8255" r="5080" b="1079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6515" id="直線接點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4.4pt" to="455.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" strokeweight=".5pt"/>
                  </w:pict>
                </mc:Fallback>
              </mc:AlternateContent>
            </w:r>
            <w:r>
              <w:rPr>
                <w:rFonts w:ascii="新細明體" w:eastAsia="新細明體" w:hAnsi="新細明體" w:hint="eastAsia"/>
                <w:sz w:val="26"/>
                <w:szCs w:val="26"/>
              </w:rPr>
              <w:t>第十條　本會設秘書室掌理議事、文書、印信、庶務、出納、公共關係及不屬各組</w:t>
            </w:r>
            <w:r>
              <w:rPr>
                <w:rFonts w:ascii="新細明體" w:eastAsia="新細明體" w:hAnsi="新細明體" w:hint="eastAsia"/>
                <w:sz w:val="26"/>
                <w:szCs w:val="26"/>
              </w:rPr>
              <w:lastRenderedPageBreak/>
              <w:t>室事項。</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基金管理委員會組織條例第五條規定訂定。</w:t>
            </w:r>
          </w:p>
        </w:tc>
      </w:tr>
      <w:tr w:rsidR="00BF5B10" w:rsidTr="00582241">
        <w:tc>
          <w:tcPr>
            <w:tcW w:w="3042" w:type="dxa"/>
            <w:hideMark/>
          </w:tcPr>
          <w:p w:rsidR="00BF5B10" w:rsidRDefault="00BF5B10">
            <w:pPr>
              <w:spacing w:line="315" w:lineRule="exact"/>
              <w:ind w:leftChars="50" w:left="216" w:rightChars="50" w:right="120" w:hangingChars="100" w:hanging="96"/>
              <w:rPr>
                <w:rFonts w:ascii="新細明體" w:eastAsia="新細明體" w:hAnsi="新細明體"/>
                <w:sz w:val="26"/>
                <w:szCs w:val="26"/>
              </w:rPr>
            </w:pPr>
            <w:r>
              <w:rPr>
                <w:rFonts w:ascii="Times New Roman" w:eastAsia="華康細明體" w:hAnsi="Times New Roman" w:hint="eastAsia"/>
                <w:noProof/>
                <w:sz w:val="21"/>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-17780</wp:posOffset>
                      </wp:positionV>
                      <wp:extent cx="5814060" cy="0"/>
                      <wp:effectExtent l="8255" t="10795" r="6985" b="825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A2A5" id="直線接點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" strokeweight=".5pt"/>
                  </w:pict>
                </mc:Fallback>
              </mc:AlternateContent>
            </w:r>
            <w:r>
              <w:rPr>
                <w:rFonts w:ascii="新細明體" w:eastAsia="新細明體" w:hAnsi="新細明體" w:hint="eastAsia"/>
                <w:sz w:val="26"/>
                <w:szCs w:val="26"/>
              </w:rPr>
              <w:t xml:space="preserve">第十一條　</w:t>
            </w:r>
            <w:r>
              <w:rPr>
                <w:rFonts w:ascii="新細明體" w:eastAsia="新細明體" w:hAnsi="新細明體" w:hint="eastAsia"/>
                <w:sz w:val="26"/>
                <w:szCs w:val="26"/>
                <w:u w:val="single"/>
              </w:rPr>
              <w:t>本會置執行秘書一人，職務列簡任第十二職等至第十三職等；副執行秘書兩人，職務列簡任第十一職等至第十二職等；組長三人，職務列簡任第十一職等至第十二職等；專門委員四人至五人，職務列簡任第十職等至第十一職等；稽核八至十四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第八職等至第九職等，其中二至三人，得列簡任第十職等至第十一職等；科長六人至八人，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第九職等；系統分析師一人，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第七職等至第九職等；專員六人至十四人，聯</w:t>
            </w:r>
            <w:proofErr w:type="gramStart"/>
            <w:r>
              <w:rPr>
                <w:rFonts w:ascii="新細明體" w:eastAsia="新細明體" w:hAnsi="新細明體" w:hint="eastAsia"/>
                <w:sz w:val="26"/>
                <w:szCs w:val="26"/>
                <w:u w:val="single"/>
              </w:rPr>
              <w:t>務列薦</w:t>
            </w:r>
            <w:proofErr w:type="gramEnd"/>
            <w:r>
              <w:rPr>
                <w:rFonts w:ascii="新細明體" w:eastAsia="新細明體" w:hAnsi="新細明體" w:hint="eastAsia"/>
                <w:sz w:val="26"/>
                <w:szCs w:val="26"/>
                <w:u w:val="single"/>
              </w:rPr>
              <w:t>任第七職等至第八職等；程式設計師二人，</w:t>
            </w:r>
            <w:proofErr w:type="gramStart"/>
            <w:r>
              <w:rPr>
                <w:rFonts w:ascii="新細明體" w:eastAsia="新細明體" w:hAnsi="新細明體" w:hint="eastAsia"/>
                <w:sz w:val="26"/>
                <w:szCs w:val="26"/>
                <w:u w:val="single"/>
              </w:rPr>
              <w:t>職務列薦任</w:t>
            </w:r>
            <w:proofErr w:type="gramEnd"/>
            <w:r>
              <w:rPr>
                <w:rFonts w:ascii="新細明體" w:eastAsia="新細明體" w:hAnsi="新細明體" w:hint="eastAsia"/>
                <w:sz w:val="26"/>
                <w:szCs w:val="26"/>
                <w:u w:val="single"/>
              </w:rPr>
              <w:t>第六職等至第八職等；科員二十四人至三十人，職務列委任第四職等至第五職等，其中十人至十三人</w:t>
            </w:r>
            <w:proofErr w:type="gramStart"/>
            <w:r>
              <w:rPr>
                <w:rFonts w:ascii="新細明體" w:eastAsia="新細明體" w:hAnsi="新細明體" w:hint="eastAsia"/>
                <w:sz w:val="26"/>
                <w:szCs w:val="26"/>
                <w:u w:val="single"/>
              </w:rPr>
              <w:t>得列薦任</w:t>
            </w:r>
            <w:proofErr w:type="gramEnd"/>
            <w:r>
              <w:rPr>
                <w:rFonts w:ascii="新細明體" w:eastAsia="新細明體" w:hAnsi="新細明體" w:hint="eastAsia"/>
                <w:sz w:val="26"/>
                <w:szCs w:val="26"/>
                <w:u w:val="single"/>
              </w:rPr>
              <w:t>第六職等至第七職等；助理程式設計師二人，職務列委任第四職等至第五職等；稽察員三人至四人，職務列委任第四職等至第五職等，其中一人至二人，</w:t>
            </w:r>
            <w:proofErr w:type="gramStart"/>
            <w:r>
              <w:rPr>
                <w:rFonts w:ascii="新細明體" w:eastAsia="新細明體" w:hAnsi="新細明體" w:hint="eastAsia"/>
                <w:sz w:val="26"/>
                <w:szCs w:val="26"/>
                <w:u w:val="single"/>
              </w:rPr>
              <w:t>得列薦任</w:t>
            </w:r>
            <w:proofErr w:type="gramEnd"/>
            <w:r>
              <w:rPr>
                <w:rFonts w:ascii="新細明體" w:eastAsia="新細明體" w:hAnsi="新細明體" w:hint="eastAsia"/>
                <w:sz w:val="26"/>
                <w:szCs w:val="26"/>
                <w:u w:val="single"/>
              </w:rPr>
              <w:t>第六職等至第七職等；助理</w:t>
            </w:r>
            <w:r>
              <w:rPr>
                <w:rFonts w:ascii="新細明體" w:eastAsia="新細明體" w:hAnsi="新細明體" w:hint="eastAsia"/>
                <w:sz w:val="26"/>
                <w:szCs w:val="26"/>
                <w:u w:val="single"/>
              </w:rPr>
              <w:lastRenderedPageBreak/>
              <w:t>員六人至十人，職務列委任第三職等至第五職等；書記六人至九人，職務列委任第一職等至第三職等。</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第六條　本會置執行秘書一人，職務列簡任第十二職等至第十三職等；副執行秘書一人，職務列簡任第十一職等至第十二職等；組長二人，職務列簡任第十一職等至第十二職等；專門委員一人至二人，職務列簡任第十職等至第十一職等；稽核三人至四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第八職等至第九職等，其中一人至二人，得列簡任第十職等至第十一職等；視察一人至二人，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第八職等至第九職等；專員三人至四人，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第七職等至第九職等；組員六人至八人，職務列委任第五職等，其中三人至四人，</w:t>
            </w:r>
            <w:proofErr w:type="gramStart"/>
            <w:r>
              <w:rPr>
                <w:rFonts w:ascii="新細明體" w:eastAsia="新細明體" w:hAnsi="新細明體" w:hint="eastAsia"/>
                <w:sz w:val="26"/>
                <w:szCs w:val="26"/>
              </w:rPr>
              <w:t>得列薦任</w:t>
            </w:r>
            <w:proofErr w:type="gramEnd"/>
            <w:r>
              <w:rPr>
                <w:rFonts w:ascii="新細明體" w:eastAsia="新細明體" w:hAnsi="新細明體" w:hint="eastAsia"/>
                <w:sz w:val="26"/>
                <w:szCs w:val="26"/>
              </w:rPr>
              <w:t>第六職等至第七職等；稽察員三人至四人，職務列委任第四職等至第五職等，其中一人至二人，</w:t>
            </w:r>
            <w:proofErr w:type="gramStart"/>
            <w:r>
              <w:rPr>
                <w:rFonts w:ascii="新細明體" w:eastAsia="新細明體" w:hAnsi="新細明體" w:hint="eastAsia"/>
                <w:sz w:val="26"/>
                <w:szCs w:val="26"/>
              </w:rPr>
              <w:t>得列薦任</w:t>
            </w:r>
            <w:proofErr w:type="gramEnd"/>
            <w:r>
              <w:rPr>
                <w:rFonts w:ascii="新細明體" w:eastAsia="新細明體" w:hAnsi="新細明體" w:hint="eastAsia"/>
                <w:sz w:val="26"/>
                <w:szCs w:val="26"/>
              </w:rPr>
              <w:t>第六職等至第七職等；助理員二人至四人，職務列委任第三職等至第五職等；書記二人至三人，職務列委任第</w:t>
            </w:r>
            <w:r>
              <w:rPr>
                <w:rFonts w:ascii="新細明體" w:eastAsia="新細明體" w:hAnsi="新細明體" w:hint="eastAsia"/>
                <w:sz w:val="26"/>
                <w:szCs w:val="26"/>
              </w:rPr>
              <w:lastRenderedPageBreak/>
              <w:t>一職等至第三職等。</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基金管理委員會組織條例第八條及監理委員會組織條例第六條規定整</w:t>
            </w:r>
            <w:proofErr w:type="gramStart"/>
            <w:r>
              <w:rPr>
                <w:rFonts w:ascii="新細明體" w:eastAsia="新細明體" w:hAnsi="新細明體" w:hint="eastAsia"/>
                <w:sz w:val="26"/>
                <w:szCs w:val="26"/>
              </w:rPr>
              <w:t>併</w:t>
            </w:r>
            <w:proofErr w:type="gramEnd"/>
            <w:r>
              <w:rPr>
                <w:rFonts w:ascii="新細明體" w:eastAsia="新細明體" w:hAnsi="新細明體" w:hint="eastAsia"/>
                <w:sz w:val="26"/>
                <w:szCs w:val="26"/>
              </w:rPr>
              <w:t>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第十二條　本會設人事室，置主任一人，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第九職等，依法辦理人事管理事項；其餘所需工作人員，應就本條例所定員額內派充之。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第七條　本會人事管理、歲計、會計、統計及政風事項，由考試院派員兼辦之。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基金管理委員會組織條例第九條規定訂定。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本會設會計室，置會計主任一人，</w:t>
            </w:r>
            <w:proofErr w:type="gramStart"/>
            <w:r>
              <w:rPr>
                <w:rFonts w:ascii="新細明體" w:eastAsia="新細明體" w:hAnsi="新細明體" w:hint="eastAsia"/>
                <w:sz w:val="26"/>
                <w:szCs w:val="26"/>
              </w:rPr>
              <w:t>職務列薦任</w:t>
            </w:r>
            <w:proofErr w:type="gramEnd"/>
            <w:r>
              <w:rPr>
                <w:rFonts w:ascii="新細明體" w:eastAsia="新細明體" w:hAnsi="新細明體" w:hint="eastAsia"/>
                <w:sz w:val="26"/>
                <w:szCs w:val="26"/>
              </w:rPr>
              <w:t>第九職等，依法辦理歲計、會計事項，並兼辦統計事項；其餘所需工作人員，應就本條例所定員額內派充之。</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基金管理委員會組織條例第十條規定訂定。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第十四條　第四條及第八條至第十條所定各職稱列有官等職等人員，其職務所適用之職系，依公務人員任用法第八條之規定，就有關職系選用之。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第八條　第六條所定各職稱列有官等職等人員，其職務所適用之職系，依公務人員任用法第八條之規定，就有關職系選用之。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參考公務人員退休撫</w:t>
            </w:r>
            <w:proofErr w:type="gramStart"/>
            <w:r>
              <w:rPr>
                <w:rFonts w:ascii="新細明體" w:eastAsia="新細明體" w:hAnsi="新細明體" w:hint="eastAsia"/>
                <w:sz w:val="26"/>
                <w:szCs w:val="26"/>
              </w:rPr>
              <w:t>卹</w:t>
            </w:r>
            <w:proofErr w:type="gramEnd"/>
            <w:r>
              <w:rPr>
                <w:rFonts w:ascii="新細明體" w:eastAsia="新細明體" w:hAnsi="新細明體" w:hint="eastAsia"/>
                <w:sz w:val="26"/>
                <w:szCs w:val="26"/>
              </w:rPr>
              <w:t>基金管理委員會組織條例第十一條規定訂定。</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第十五條　（會議召集）</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本會每月召開委員會議一次，必要時得舉行臨時會議，由主任委員召集，並為主席，主任委員未能出席時，由副主任委員代理，</w:t>
            </w:r>
            <w:proofErr w:type="gramStart"/>
            <w:r>
              <w:rPr>
                <w:rFonts w:ascii="新細明體" w:eastAsia="新細明體" w:hAnsi="新細明體" w:hint="eastAsia"/>
                <w:sz w:val="26"/>
                <w:szCs w:val="26"/>
                <w:u w:val="single"/>
              </w:rPr>
              <w:t>若副主任委</w:t>
            </w:r>
            <w:r>
              <w:rPr>
                <w:rFonts w:ascii="新細明體" w:eastAsia="新細明體" w:hAnsi="新細明體" w:hint="eastAsia"/>
                <w:sz w:val="26"/>
                <w:szCs w:val="26"/>
                <w:u w:val="single"/>
              </w:rPr>
              <w:lastRenderedPageBreak/>
              <w:t>員</w:t>
            </w:r>
            <w:proofErr w:type="gramEnd"/>
            <w:r>
              <w:rPr>
                <w:rFonts w:ascii="新細明體" w:eastAsia="新細明體" w:hAnsi="新細明體" w:hint="eastAsia"/>
                <w:sz w:val="26"/>
                <w:szCs w:val="26"/>
                <w:u w:val="single"/>
              </w:rPr>
              <w:t>亦無法出席，則由與會委員互相推選主席。</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委員應親自出席會議，不得委託他人代理出席。</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經三分之一以上委員，以書面記明討論之議案及理由，提請召開委員會議。主任委員應於收到書面後三日內即召集會議。</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開會須有三分之二以上委員出席，其中各團體及政府機關所推薦之委員，應至少各有一人以上出席。決議事項應經出席委員過半數同意行之。</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本會開會時，得邀請學者、專家及與議決事項有關之機關（構）及單位派員列席，陳述事實或提供意見。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本會會議紀錄除必須保密之事項外，應予公開。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第十一條　本會每三月舉行會議一次，必要時得召開臨時會議。</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前項會議由主任委員擔任主席，主任委員不能出席時，得由主任委員指定委員一人代理之。必要時得邀請</w:t>
            </w:r>
            <w:r>
              <w:rPr>
                <w:rFonts w:ascii="新細明體" w:eastAsia="新細明體" w:hAnsi="新細明體" w:hint="eastAsia"/>
                <w:sz w:val="26"/>
                <w:szCs w:val="26"/>
              </w:rPr>
              <w:lastRenderedPageBreak/>
              <w:t>有關人員列席。</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lastRenderedPageBreak/>
              <w:t>參考勞工退休基金監理委員會組織法第九條規定增修。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 xml:space="preserve">第十六條　</w:t>
            </w:r>
            <w:r>
              <w:rPr>
                <w:rFonts w:ascii="新細明體" w:eastAsia="新細明體" w:hAnsi="新細明體" w:hint="eastAsia"/>
                <w:sz w:val="26"/>
                <w:szCs w:val="26"/>
                <w:u w:val="single"/>
              </w:rPr>
              <w:t>本會因業務需要，得依聘用人員聘用條例之規定，聘用對金融商品、衍生性金融商品、資產證券化、投資銀行、融資性租賃、期貨、精算及資訊科技等有專門研究之資深人員</w:t>
            </w:r>
            <w:r>
              <w:rPr>
                <w:rFonts w:ascii="新細明體" w:eastAsia="新細明體" w:hAnsi="新細明體" w:hint="eastAsia"/>
                <w:sz w:val="26"/>
                <w:szCs w:val="26"/>
                <w:u w:val="single"/>
              </w:rPr>
              <w:lastRenderedPageBreak/>
              <w:t>十人至二十人。</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參考行政院金融監督管理委員會組織法第三十三條規定增修。</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lastRenderedPageBreak/>
              <w:t>第十七條　（績效獎金）</w:t>
            </w:r>
          </w:p>
          <w:p w:rsidR="00BF5B10" w:rsidRDefault="00BF5B10">
            <w:pPr>
              <w:spacing w:line="315" w:lineRule="exact"/>
              <w:ind w:leftChars="150" w:left="361" w:rightChars="50" w:right="120" w:firstLineChars="200" w:firstLine="522"/>
              <w:rPr>
                <w:rFonts w:ascii="新細明體" w:eastAsia="新細明體" w:hAnsi="新細明體"/>
                <w:sz w:val="26"/>
                <w:szCs w:val="26"/>
                <w:u w:val="single"/>
              </w:rPr>
            </w:pPr>
            <w:r>
              <w:rPr>
                <w:rFonts w:ascii="新細明體" w:eastAsia="新細明體" w:hAnsi="新細明體" w:hint="eastAsia"/>
                <w:sz w:val="26"/>
                <w:szCs w:val="26"/>
                <w:u w:val="single"/>
              </w:rPr>
              <w:t>本會得發放績效獎金，其發放額度為依本基金歷次精算預設年度平均報酬率之超出部份，再扣除依本條例第五條第三項之補足差額準備後之5%至20%，其分配基準由本會擬定，報考試院會銜行政院核定之。</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u w:val="single"/>
              </w:rPr>
              <w:t>本會委員及未參與本會主管基金之投資管理或研究者，及非本會內部人員，不得參與分配支領前項績效獎金。</w:t>
            </w:r>
          </w:p>
        </w:tc>
        <w:tc>
          <w:tcPr>
            <w:tcW w:w="3043" w:type="dxa"/>
          </w:tcPr>
          <w:p w:rsidR="00BF5B10" w:rsidRDefault="00BF5B10">
            <w:pPr>
              <w:spacing w:line="315" w:lineRule="exact"/>
              <w:ind w:leftChars="50" w:left="120" w:rightChars="50" w:right="120"/>
              <w:rPr>
                <w:rFonts w:ascii="新細明體" w:eastAsia="新細明體" w:hAnsi="新細明體"/>
                <w:sz w:val="26"/>
                <w:szCs w:val="26"/>
              </w:rPr>
            </w:pP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u w:val="single"/>
              </w:rPr>
            </w:pPr>
            <w:r>
              <w:rPr>
                <w:rFonts w:ascii="新細明體" w:eastAsia="新細明體" w:hAnsi="新細明體" w:hint="eastAsia"/>
                <w:sz w:val="26"/>
                <w:szCs w:val="26"/>
                <w:u w:val="single"/>
              </w:rPr>
              <w:t>本條新增。</w:t>
            </w:r>
          </w:p>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退撫基金之任務與一般公務機關不同，若完全適用公務體系</w:t>
            </w:r>
            <w:proofErr w:type="gramStart"/>
            <w:r>
              <w:rPr>
                <w:rFonts w:ascii="新細明體" w:eastAsia="新細明體" w:hAnsi="新細明體" w:hint="eastAsia"/>
                <w:sz w:val="26"/>
                <w:szCs w:val="26"/>
              </w:rPr>
              <w:t>之獎酬制度</w:t>
            </w:r>
            <w:proofErr w:type="gramEnd"/>
            <w:r>
              <w:rPr>
                <w:rFonts w:ascii="新細明體" w:eastAsia="新細明體" w:hAnsi="新細明體" w:hint="eastAsia"/>
                <w:sz w:val="26"/>
                <w:szCs w:val="26"/>
              </w:rPr>
              <w:t>，恐無法提昇績效，且反而造成國家財政長期的撥補負擔，</w:t>
            </w:r>
            <w:proofErr w:type="gramStart"/>
            <w:r>
              <w:rPr>
                <w:rFonts w:ascii="新細明體" w:eastAsia="新細明體" w:hAnsi="新細明體" w:hint="eastAsia"/>
                <w:sz w:val="26"/>
                <w:szCs w:val="26"/>
              </w:rPr>
              <w:t>爰</w:t>
            </w:r>
            <w:proofErr w:type="gramEnd"/>
            <w:r>
              <w:rPr>
                <w:rFonts w:ascii="新細明體" w:eastAsia="新細明體" w:hAnsi="新細明體" w:hint="eastAsia"/>
                <w:sz w:val="26"/>
                <w:szCs w:val="26"/>
              </w:rPr>
              <w:t>給予創設績效獎金法源及額度，以激勵相關人員。</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第十八條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本會辦事細則，由本會擬定，報考試院核定之。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第十二條　本會辦事細則，由本會擬訂，報請考試院核定之。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r w:rsidR="00BF5B10" w:rsidTr="00582241">
        <w:tc>
          <w:tcPr>
            <w:tcW w:w="3042"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第十九條　（附則）</w:t>
            </w:r>
          </w:p>
          <w:p w:rsidR="00BF5B10" w:rsidRDefault="00BF5B10">
            <w:pPr>
              <w:spacing w:line="315" w:lineRule="exact"/>
              <w:ind w:leftChars="150" w:left="361" w:rightChars="50" w:right="120" w:firstLineChars="200" w:firstLine="522"/>
              <w:rPr>
                <w:rFonts w:ascii="新細明體" w:eastAsia="新細明體" w:hAnsi="新細明體"/>
                <w:sz w:val="26"/>
                <w:szCs w:val="26"/>
              </w:rPr>
            </w:pPr>
            <w:r>
              <w:rPr>
                <w:rFonts w:ascii="新細明體" w:eastAsia="新細明體" w:hAnsi="新細明體" w:hint="eastAsia"/>
                <w:sz w:val="26"/>
                <w:szCs w:val="26"/>
              </w:rPr>
              <w:t>本條例施行日期，由考試院會同行政院以命令定之。</w:t>
            </w:r>
          </w:p>
        </w:tc>
        <w:tc>
          <w:tcPr>
            <w:tcW w:w="3043" w:type="dxa"/>
            <w:hideMark/>
          </w:tcPr>
          <w:p w:rsidR="00BF5B10" w:rsidRDefault="00BF5B10">
            <w:pPr>
              <w:spacing w:line="315" w:lineRule="exact"/>
              <w:ind w:leftChars="50" w:left="381" w:rightChars="50" w:right="120" w:hangingChars="100" w:hanging="261"/>
              <w:rPr>
                <w:rFonts w:ascii="新細明體" w:eastAsia="新細明體" w:hAnsi="新細明體"/>
                <w:sz w:val="26"/>
                <w:szCs w:val="26"/>
              </w:rPr>
            </w:pPr>
            <w:r>
              <w:rPr>
                <w:rFonts w:ascii="新細明體" w:eastAsia="新細明體" w:hAnsi="新細明體" w:hint="eastAsia"/>
                <w:sz w:val="26"/>
                <w:szCs w:val="26"/>
              </w:rPr>
              <w:t>第十三條　本條例施行日期，由考試院以命令定之。</w:t>
            </w:r>
          </w:p>
        </w:tc>
        <w:tc>
          <w:tcPr>
            <w:tcW w:w="3043" w:type="dxa"/>
            <w:hideMark/>
          </w:tcPr>
          <w:p w:rsidR="00BF5B10" w:rsidRDefault="00BF5B10">
            <w:pPr>
              <w:spacing w:line="315" w:lineRule="exact"/>
              <w:ind w:leftChars="50" w:left="120" w:rightChars="50" w:right="120"/>
              <w:rPr>
                <w:rFonts w:ascii="新細明體" w:eastAsia="新細明體" w:hAnsi="新細明體"/>
                <w:sz w:val="26"/>
                <w:szCs w:val="26"/>
              </w:rPr>
            </w:pPr>
            <w:r>
              <w:rPr>
                <w:rFonts w:ascii="新細明體" w:eastAsia="新細明體" w:hAnsi="新細明體" w:hint="eastAsia"/>
                <w:sz w:val="26"/>
                <w:szCs w:val="26"/>
              </w:rPr>
              <w:t>條次變更。</w:t>
            </w:r>
          </w:p>
        </w:tc>
      </w:tr>
    </w:tbl>
    <w:p w:rsidR="00BF5B10" w:rsidRDefault="00BF5B10" w:rsidP="00BF5B10">
      <w:pPr>
        <w:rPr>
          <w:rFonts w:ascii="新細明體" w:eastAsia="新細明體" w:hAnsi="新細明體" w:cs="Times New Roman"/>
          <w:noProof/>
          <w:sz w:val="26"/>
          <w:szCs w:val="26"/>
        </w:rPr>
      </w:pPr>
    </w:p>
    <w:p w:rsidR="00BF5B10" w:rsidRDefault="00BF5B10" w:rsidP="00BF5B10">
      <w:pPr>
        <w:widowControl/>
        <w:spacing w:beforeAutospacing="1" w:afterAutospacing="1"/>
        <w:rPr>
          <w:rFonts w:ascii="新細明體" w:eastAsia="新細明體" w:hAnsi="新細明體"/>
          <w:kern w:val="0"/>
          <w:sz w:val="26"/>
          <w:szCs w:val="26"/>
        </w:rPr>
        <w:sectPr w:rsidR="00BF5B10">
          <w:pgSz w:w="11906" w:h="16838"/>
          <w:pgMar w:top="1984" w:right="1417" w:bottom="1417" w:left="1417" w:header="1417" w:footer="850" w:gutter="0"/>
          <w:cols w:space="720"/>
          <w:docGrid w:type="linesAndChars" w:linePitch="335" w:charSpace="200"/>
        </w:sectPr>
      </w:pPr>
    </w:p>
    <w:p w:rsidR="00BF5B10" w:rsidRDefault="00BF5B10" w:rsidP="00582241">
      <w:pPr>
        <w:pStyle w:val="ac"/>
        <w:spacing w:after="180" w:line="500" w:lineRule="exact"/>
        <w:ind w:leftChars="0" w:left="0" w:firstLineChars="0" w:firstLine="0"/>
        <w:jc w:val="center"/>
        <w:rPr>
          <w:rFonts w:ascii="新細明體" w:eastAsia="新細明體" w:hAnsi="新細明體"/>
          <w:sz w:val="26"/>
          <w:szCs w:val="26"/>
        </w:rPr>
      </w:pPr>
      <w:r>
        <w:rPr>
          <w:rFonts w:ascii="新細明體" w:eastAsia="新細明體" w:hAnsi="新細明體" w:hint="eastAsia"/>
          <w:sz w:val="26"/>
          <w:szCs w:val="26"/>
        </w:rPr>
        <w:lastRenderedPageBreak/>
        <w:t>公務人員退休撫卹基金管理委員會組織條例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一　條　　本條例依公務人員退休撫卹基金管理條例第二條規定制定之。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二　條　　公務人員退休撫卹基金管理委員會（以下簡稱本會）隸屬於銓敘部，負責公務人員退休撫卹基金之收支、管理及運用。</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三　條　　本會掌理下列事項：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一、關於公務人員退休撫卹基金之收支、保管、運用及規劃事項。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二、關於公務人員退休撫卹基金之收支、保管及運用機關之決定事項。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三、關於公務人員退休撫卹基金受委託運用機構所提基金運用計畫之審核事項。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四、關於公務人員退休撫卹基金年度預算及決算報告之編製事項。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五、關於公務人員退休撫卹基金收支、保管及運用機構績效之考核事項。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六、關於公務人員退休撫卹基金調整提撥費率及其幅度之建議事項。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七、關於公務人員退休撫卹基金資訊作業之整體規劃、系統分析、程式設計、資料處理及其他有關資訊管理事項。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八、其他有關公務人員退休撫卹基金業務管理事項。</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四　條　　本會設下列各組、室，分別掌理前條所列事項：</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一、業務組。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二、財務組。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三、稽核組。</w:t>
      </w:r>
    </w:p>
    <w:p w:rsidR="00BF5B10" w:rsidRDefault="00BF5B10" w:rsidP="00BF5B10">
      <w:pPr>
        <w:pStyle w:val="aa"/>
        <w:ind w:left="1940" w:hanging="260"/>
        <w:rPr>
          <w:rFonts w:ascii="新細明體" w:eastAsia="新細明體" w:hAnsi="新細明體"/>
          <w:sz w:val="26"/>
          <w:szCs w:val="26"/>
        </w:rPr>
      </w:pPr>
      <w:r>
        <w:rPr>
          <w:rFonts w:ascii="新細明體" w:eastAsia="新細明體" w:hAnsi="新細明體" w:hint="eastAsia"/>
          <w:sz w:val="26"/>
          <w:szCs w:val="26"/>
        </w:rPr>
        <w:t>四、資訊室。</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五　條　　本會設秘書室掌理議事、文書、印信、庶務、出納、公共關係及不屬各組室事項。</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六　條　　本會置主任委員一人，由銓敘部部長兼任，綜理會務；副主任委員一人，職務列簡任第十三職等，襄理會務。</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七　條　　本會置委員十三人至十七人，由銓敘部遴聘國防部、財政部、教育部、行政院主計處、行政院人事行政局、臺灣省政府、台北市政府、高雄市政府業務主管各一人，及專家學者組成之。</w:t>
      </w:r>
    </w:p>
    <w:p w:rsidR="00BF5B10" w:rsidRDefault="00BF5B10" w:rsidP="00BF5B10">
      <w:pPr>
        <w:pStyle w:val="a9"/>
        <w:ind w:left="1200" w:firstLine="520"/>
        <w:rPr>
          <w:rFonts w:ascii="新細明體" w:eastAsia="新細明體" w:hAnsi="新細明體"/>
          <w:sz w:val="26"/>
          <w:szCs w:val="26"/>
        </w:rPr>
      </w:pPr>
      <w:r>
        <w:rPr>
          <w:rFonts w:ascii="新細明體" w:eastAsia="新細明體" w:hAnsi="新細明體" w:hint="eastAsia"/>
          <w:sz w:val="26"/>
          <w:szCs w:val="26"/>
        </w:rPr>
        <w:t>前項委員均為兼任，其由專家學者擔任者任期為二年。</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八　條　　本會置主任秘書一人，組長三人，職務均列簡任第十一職等；主任二人，專門委員三人，職務均列薦任第九職等至簡任第十職等；科長六人至八人，職務列薦任第九職等；稽核四人至十二人，職務列薦任第八職等至第九職</w:t>
      </w:r>
      <w:r>
        <w:rPr>
          <w:rFonts w:ascii="新細明體" w:eastAsia="新細明體" w:hAnsi="新細明體" w:hint="eastAsia"/>
          <w:sz w:val="26"/>
          <w:szCs w:val="26"/>
        </w:rPr>
        <w:lastRenderedPageBreak/>
        <w:t>等；系統分析師一人，職務列薦任第七職等至第九職等；專員六人至十四人，聯務列薦任第七職等至第八職等；程式設計師二人，職務列薦任第六職等至第八職等；科員十七人至二十三人，職務列委任第四職等至第五職等，其中六人至八人得列薦任第六職等至第七職等；助理程式設計師二人，職務列委任第四職等至第五職等；助理員四人至八人，職務列委任第三職等至第五職等；書記四人至六人，職務列委任第一職等至第三職等。</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九　條　　本會設人事室，置主任一人，職務列薦任第九職等，依法辦理人事管理事項；其餘所需工作人員，應就本條例所定員額內派充之。</w:t>
      </w:r>
    </w:p>
    <w:p w:rsidR="00BF5B10" w:rsidRDefault="00BF5B10" w:rsidP="00BF5B10">
      <w:pPr>
        <w:pStyle w:val="a8"/>
        <w:ind w:left="1300" w:hanging="1300"/>
        <w:rPr>
          <w:rFonts w:ascii="新細明體" w:eastAsia="新細明體" w:hAnsi="新細明體"/>
          <w:sz w:val="26"/>
          <w:szCs w:val="26"/>
        </w:rPr>
      </w:pPr>
      <w:r>
        <w:rPr>
          <w:rFonts w:ascii="新細明體" w:eastAsia="新細明體" w:hAnsi="新細明體" w:hint="eastAsia"/>
          <w:sz w:val="26"/>
          <w:szCs w:val="26"/>
        </w:rPr>
        <w:t>第　十　條　　本會設會計室，置會計主任一人，職務列薦任第九職等，依法辦理歲計、會計事項，並兼辦統計事項；其餘所需工作人員，應就本條例所定員額內派充之。</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第十一</w:t>
      </w:r>
      <w:r>
        <w:rPr>
          <w:rFonts w:ascii="新細明體" w:eastAsia="新細明體" w:hAnsi="新細明體" w:hint="eastAsia"/>
          <w:sz w:val="26"/>
          <w:szCs w:val="26"/>
        </w:rPr>
        <w:t>條　　第六條及第八條至第十條所定各職稱列有官等職等人員，其職務所適用之職系，依公務人員任用法第八條之規定，就有關職系選用之。</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第十二</w:t>
      </w:r>
      <w:r>
        <w:rPr>
          <w:rFonts w:ascii="新細明體" w:eastAsia="新細明體" w:hAnsi="新細明體" w:hint="eastAsia"/>
          <w:sz w:val="26"/>
          <w:szCs w:val="26"/>
        </w:rPr>
        <w:t>條　　本會委員會議以每月開會一次為原則，由主任委員為主席，主任委員未能出席時，由副主任委員為主席，主任委員及副主任委員均不能出席時，由委員互推一人為主席。</w:t>
      </w:r>
    </w:p>
    <w:p w:rsidR="00BF5B10" w:rsidRDefault="00BF5B10" w:rsidP="00BF5B10">
      <w:pPr>
        <w:pStyle w:val="12"/>
        <w:ind w:left="1200" w:firstLine="520"/>
        <w:rPr>
          <w:rFonts w:ascii="新細明體" w:eastAsia="新細明體" w:hAnsi="新細明體"/>
          <w:sz w:val="26"/>
          <w:szCs w:val="26"/>
        </w:rPr>
      </w:pPr>
      <w:r>
        <w:rPr>
          <w:rFonts w:ascii="新細明體" w:eastAsia="新細明體" w:hAnsi="新細明體" w:hint="eastAsia"/>
          <w:sz w:val="26"/>
          <w:szCs w:val="26"/>
        </w:rPr>
        <w:t>前項會議並得邀請有關機關派員列席。</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第十三</w:t>
      </w:r>
      <w:r>
        <w:rPr>
          <w:rFonts w:ascii="新細明體" w:eastAsia="新細明體" w:hAnsi="新細明體" w:hint="eastAsia"/>
          <w:sz w:val="26"/>
          <w:szCs w:val="26"/>
        </w:rPr>
        <w:t>條　　本會得視業務需要，遴聘專家學者若干人為顧問，聘期一年；其遴聘辦法另定之。</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第十四</w:t>
      </w:r>
      <w:r>
        <w:rPr>
          <w:rFonts w:ascii="新細明體" w:eastAsia="新細明體" w:hAnsi="新細明體" w:hint="eastAsia"/>
          <w:sz w:val="26"/>
          <w:szCs w:val="26"/>
        </w:rPr>
        <w:t>條　　本會委員、顧問均為無給職。但得依規定支領交通費或出席費。</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第十五</w:t>
      </w:r>
      <w:r>
        <w:rPr>
          <w:rFonts w:ascii="新細明體" w:eastAsia="新細明體" w:hAnsi="新細明體" w:hint="eastAsia"/>
          <w:sz w:val="26"/>
          <w:szCs w:val="26"/>
        </w:rPr>
        <w:t>條　　本會辦事細則由本會擬訂，報請銓敘部核定之。</w:t>
      </w:r>
    </w:p>
    <w:p w:rsidR="00BF5B10" w:rsidRDefault="00BF5B10" w:rsidP="00BF5B10">
      <w:pPr>
        <w:pStyle w:val="11"/>
        <w:ind w:left="1238" w:hanging="1238"/>
        <w:rPr>
          <w:rFonts w:ascii="新細明體" w:eastAsia="新細明體" w:hAnsi="新細明體"/>
          <w:sz w:val="26"/>
          <w:szCs w:val="26"/>
        </w:rPr>
      </w:pPr>
      <w:r>
        <w:rPr>
          <w:rFonts w:ascii="新細明體" w:eastAsia="新細明體" w:hAnsi="新細明體" w:hint="eastAsia"/>
          <w:spacing w:val="35"/>
          <w:sz w:val="26"/>
          <w:szCs w:val="26"/>
        </w:rPr>
        <w:t>第十六</w:t>
      </w:r>
      <w:r>
        <w:rPr>
          <w:rFonts w:ascii="新細明體" w:eastAsia="新細明體" w:hAnsi="新細明體" w:hint="eastAsia"/>
          <w:sz w:val="26"/>
          <w:szCs w:val="26"/>
        </w:rPr>
        <w:t>條　　本條例施行日期，由考試院以命令定之。</w:t>
      </w:r>
    </w:p>
    <w:p w:rsidR="00E14273" w:rsidRDefault="00E14273"/>
    <w:sectPr w:rsidR="00E14273" w:rsidSect="00F110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12" w:rsidRDefault="00CC0712" w:rsidP="00F110E6">
      <w:r>
        <w:separator/>
      </w:r>
    </w:p>
  </w:endnote>
  <w:endnote w:type="continuationSeparator" w:id="0">
    <w:p w:rsidR="00CC0712" w:rsidRDefault="00CC0712" w:rsidP="00F1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華康細明體">
    <w:altName w:val="Challenge Contour"/>
    <w:panose1 w:val="02020309000000000000"/>
    <w:charset w:val="88"/>
    <w:family w:val="modern"/>
    <w:pitch w:val="fixed"/>
    <w:sig w:usb0="00000000" w:usb1="28091800" w:usb2="00000016" w:usb3="00000000" w:csb0="00100000" w:csb1="00000000"/>
  </w:font>
  <w:font w:name="華康楷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66914"/>
      <w:docPartObj>
        <w:docPartGallery w:val="Page Numbers (Bottom of Page)"/>
        <w:docPartUnique/>
      </w:docPartObj>
    </w:sdtPr>
    <w:sdtContent>
      <w:p w:rsidR="00B807BF" w:rsidRDefault="00B807BF">
        <w:pPr>
          <w:pStyle w:val="af"/>
          <w:jc w:val="center"/>
        </w:pPr>
        <w:r>
          <w:fldChar w:fldCharType="begin"/>
        </w:r>
        <w:r>
          <w:instrText>PAGE   \* MERGEFORMAT</w:instrText>
        </w:r>
        <w:r>
          <w:fldChar w:fldCharType="separate"/>
        </w:r>
        <w:r w:rsidR="00531AED" w:rsidRPr="00531AED">
          <w:rPr>
            <w:noProof/>
            <w:lang w:val="zh-TW"/>
          </w:rPr>
          <w:t>21</w:t>
        </w:r>
        <w:r>
          <w:fldChar w:fldCharType="end"/>
        </w:r>
      </w:p>
    </w:sdtContent>
  </w:sdt>
  <w:p w:rsidR="00B807BF" w:rsidRDefault="00B807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12" w:rsidRDefault="00CC0712" w:rsidP="00F110E6">
      <w:r>
        <w:separator/>
      </w:r>
    </w:p>
  </w:footnote>
  <w:footnote w:type="continuationSeparator" w:id="0">
    <w:p w:rsidR="00CC0712" w:rsidRDefault="00CC0712" w:rsidP="00F1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34" w:rsidRDefault="00AE0334" w:rsidP="006B2958">
    <w:pPr>
      <w:pStyle w:val="ad"/>
      <w:spacing w:line="276" w:lineRule="auto"/>
      <w:jc w:val="center"/>
    </w:pPr>
    <w:r>
      <w:rPr>
        <w:sz w:val="30"/>
        <w:szCs w:val="30"/>
        <w:bdr w:val="single" w:sz="4" w:space="0" w:color="auto" w:frame="1"/>
      </w:rPr>
      <w:t>201607</w:t>
    </w:r>
    <w:r>
      <w:rPr>
        <w:rFonts w:hint="eastAsia"/>
        <w:sz w:val="30"/>
        <w:szCs w:val="30"/>
        <w:bdr w:val="single" w:sz="4" w:space="0" w:color="auto" w:frame="1"/>
      </w:rPr>
      <w:t>21</w:t>
    </w:r>
    <w:r>
      <w:rPr>
        <w:rFonts w:ascii="新細明體" w:eastAsia="新細明體" w:hAnsi="新細明體" w:cs="新細明體" w:hint="eastAsia"/>
        <w:sz w:val="30"/>
        <w:szCs w:val="30"/>
        <w:bdr w:val="single" w:sz="4" w:space="0" w:color="auto" w:frame="1"/>
      </w:rPr>
      <w:t>記者會用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6DE"/>
    <w:multiLevelType w:val="hybridMultilevel"/>
    <w:tmpl w:val="38A20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6A1D15D7"/>
    <w:multiLevelType w:val="hybridMultilevel"/>
    <w:tmpl w:val="25DA9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8B"/>
    <w:rsid w:val="001B244C"/>
    <w:rsid w:val="002F4F0F"/>
    <w:rsid w:val="00321420"/>
    <w:rsid w:val="0034056A"/>
    <w:rsid w:val="00412ACF"/>
    <w:rsid w:val="004D0201"/>
    <w:rsid w:val="004D03D7"/>
    <w:rsid w:val="004D2C8B"/>
    <w:rsid w:val="00531AED"/>
    <w:rsid w:val="00582241"/>
    <w:rsid w:val="006B2958"/>
    <w:rsid w:val="006E2E04"/>
    <w:rsid w:val="006F00F8"/>
    <w:rsid w:val="006F175E"/>
    <w:rsid w:val="009245A0"/>
    <w:rsid w:val="009A3210"/>
    <w:rsid w:val="009F018D"/>
    <w:rsid w:val="00AE0334"/>
    <w:rsid w:val="00B807BF"/>
    <w:rsid w:val="00BF5B10"/>
    <w:rsid w:val="00C1407F"/>
    <w:rsid w:val="00C9455D"/>
    <w:rsid w:val="00CA6EE9"/>
    <w:rsid w:val="00CC0712"/>
    <w:rsid w:val="00E14273"/>
    <w:rsid w:val="00F110E6"/>
    <w:rsid w:val="00F86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D09145-D0C9-43E3-B65A-F53205B5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1427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next w:val="a"/>
    <w:rsid w:val="00BF5B10"/>
    <w:pPr>
      <w:kinsoku w:val="0"/>
      <w:overflowPunct w:val="0"/>
      <w:spacing w:line="420" w:lineRule="exact"/>
      <w:ind w:left="300" w:hangingChars="300" w:hanging="300"/>
      <w:jc w:val="both"/>
    </w:pPr>
    <w:rPr>
      <w:rFonts w:ascii="Times New Roman" w:eastAsia="華康細明體" w:hAnsi="Times New Roman" w:cs="Times New Roman"/>
      <w:noProof/>
      <w:kern w:val="0"/>
      <w:sz w:val="21"/>
      <w:szCs w:val="24"/>
    </w:rPr>
  </w:style>
  <w:style w:type="paragraph" w:customStyle="1" w:styleId="a4">
    <w:name w:val="案由(議)"/>
    <w:basedOn w:val="a"/>
    <w:next w:val="a"/>
    <w:rsid w:val="00BF5B10"/>
    <w:pPr>
      <w:kinsoku w:val="0"/>
      <w:overflowPunct w:val="0"/>
      <w:spacing w:line="480" w:lineRule="exact"/>
      <w:ind w:leftChars="250" w:left="550" w:hangingChars="300" w:hanging="300"/>
      <w:jc w:val="both"/>
    </w:pPr>
    <w:rPr>
      <w:rFonts w:ascii="Times New Roman" w:eastAsia="華康楷書體W5" w:hAnsi="Times New Roman" w:cs="Times New Roman"/>
      <w:noProof/>
      <w:spacing w:val="2"/>
      <w:kern w:val="0"/>
      <w:sz w:val="28"/>
      <w:szCs w:val="24"/>
    </w:rPr>
  </w:style>
  <w:style w:type="paragraph" w:customStyle="1" w:styleId="a5">
    <w:name w:val="表格第一列(文字分散)"/>
    <w:basedOn w:val="a"/>
    <w:next w:val="a"/>
    <w:rsid w:val="00BF5B10"/>
    <w:pPr>
      <w:kinsoku w:val="0"/>
      <w:overflowPunct w:val="0"/>
      <w:spacing w:line="315" w:lineRule="exact"/>
      <w:ind w:leftChars="50" w:left="50" w:rightChars="50" w:right="50"/>
      <w:jc w:val="distribute"/>
    </w:pPr>
    <w:rPr>
      <w:rFonts w:ascii="Times New Roman" w:eastAsia="華康細明體" w:hAnsi="Times New Roman" w:cs="Times New Roman"/>
      <w:noProof/>
      <w:sz w:val="21"/>
      <w:szCs w:val="24"/>
    </w:rPr>
  </w:style>
  <w:style w:type="paragraph" w:customStyle="1" w:styleId="a6">
    <w:name w:val="說明(無函件項目符號)"/>
    <w:basedOn w:val="a"/>
    <w:next w:val="a"/>
    <w:rsid w:val="00BF5B10"/>
    <w:pPr>
      <w:kinsoku w:val="0"/>
      <w:overflowPunct w:val="0"/>
      <w:spacing w:line="420" w:lineRule="exact"/>
      <w:ind w:leftChars="100" w:left="300" w:hangingChars="200" w:hanging="200"/>
      <w:jc w:val="both"/>
    </w:pPr>
    <w:rPr>
      <w:rFonts w:ascii="Times New Roman" w:eastAsia="華康細明體" w:hAnsi="Times New Roman" w:cs="Times New Roman"/>
      <w:noProof/>
      <w:kern w:val="0"/>
      <w:sz w:val="21"/>
      <w:szCs w:val="24"/>
    </w:rPr>
  </w:style>
  <w:style w:type="paragraph" w:styleId="a7">
    <w:name w:val="Block Text"/>
    <w:basedOn w:val="a"/>
    <w:semiHidden/>
    <w:unhideWhenUsed/>
    <w:rsid w:val="00BF5B10"/>
    <w:pPr>
      <w:kinsoku w:val="0"/>
      <w:overflowPunct w:val="0"/>
      <w:spacing w:line="315" w:lineRule="exact"/>
      <w:ind w:leftChars="150" w:left="316" w:rightChars="50" w:right="105" w:firstLineChars="200" w:firstLine="422"/>
      <w:jc w:val="both"/>
    </w:pPr>
    <w:rPr>
      <w:rFonts w:ascii="Times New Roman" w:eastAsia="華康細明體" w:hAnsi="Times New Roman" w:cs="Times New Roman"/>
      <w:noProof/>
      <w:sz w:val="21"/>
      <w:szCs w:val="24"/>
      <w:u w:val="single"/>
    </w:rPr>
  </w:style>
  <w:style w:type="paragraph" w:customStyle="1" w:styleId="a8">
    <w:name w:val="條"/>
    <w:basedOn w:val="a"/>
    <w:rsid w:val="00BF5B10"/>
    <w:pPr>
      <w:kinsoku w:val="0"/>
      <w:overflowPunct w:val="0"/>
      <w:spacing w:line="420" w:lineRule="exact"/>
      <w:ind w:left="500" w:hangingChars="500" w:hanging="500"/>
      <w:jc w:val="both"/>
    </w:pPr>
    <w:rPr>
      <w:rFonts w:ascii="Times New Roman" w:eastAsia="華康細明體" w:hAnsi="Times New Roman" w:cs="Times New Roman"/>
      <w:bCs/>
      <w:noProof/>
      <w:sz w:val="21"/>
      <w:szCs w:val="24"/>
    </w:rPr>
  </w:style>
  <w:style w:type="paragraph" w:customStyle="1" w:styleId="11">
    <w:name w:val="條1"/>
    <w:basedOn w:val="a"/>
    <w:next w:val="a"/>
    <w:rsid w:val="00BF5B10"/>
    <w:pPr>
      <w:kinsoku w:val="0"/>
      <w:overflowPunct w:val="0"/>
      <w:spacing w:line="420" w:lineRule="exact"/>
      <w:ind w:left="375" w:hangingChars="375" w:hanging="375"/>
      <w:jc w:val="both"/>
    </w:pPr>
    <w:rPr>
      <w:rFonts w:ascii="Times New Roman" w:eastAsia="華康細明體" w:hAnsi="Times New Roman" w:cs="Times New Roman"/>
      <w:noProof/>
      <w:sz w:val="21"/>
      <w:szCs w:val="24"/>
    </w:rPr>
  </w:style>
  <w:style w:type="paragraph" w:customStyle="1" w:styleId="a9">
    <w:name w:val="條文內文"/>
    <w:basedOn w:val="a"/>
    <w:next w:val="a"/>
    <w:rsid w:val="00BF5B10"/>
    <w:pPr>
      <w:kinsoku w:val="0"/>
      <w:overflowPunct w:val="0"/>
      <w:spacing w:line="420" w:lineRule="exact"/>
      <w:ind w:leftChars="500" w:left="500" w:firstLineChars="200" w:firstLine="200"/>
      <w:jc w:val="both"/>
    </w:pPr>
    <w:rPr>
      <w:rFonts w:ascii="Times New Roman" w:eastAsia="華康細明體" w:hAnsi="Times New Roman" w:cs="Times New Roman"/>
      <w:noProof/>
      <w:sz w:val="21"/>
      <w:szCs w:val="24"/>
    </w:rPr>
  </w:style>
  <w:style w:type="paragraph" w:customStyle="1" w:styleId="12">
    <w:name w:val="條文內文1"/>
    <w:basedOn w:val="a"/>
    <w:next w:val="a"/>
    <w:rsid w:val="00BF5B10"/>
    <w:pPr>
      <w:kinsoku w:val="0"/>
      <w:overflowPunct w:val="0"/>
      <w:spacing w:line="420" w:lineRule="exact"/>
      <w:ind w:leftChars="500" w:left="500" w:firstLineChars="200" w:firstLine="200"/>
      <w:jc w:val="both"/>
    </w:pPr>
    <w:rPr>
      <w:rFonts w:ascii="Times New Roman" w:eastAsia="華康細明體" w:hAnsi="Times New Roman" w:cs="Times New Roman"/>
      <w:noProof/>
      <w:sz w:val="21"/>
      <w:szCs w:val="24"/>
    </w:rPr>
  </w:style>
  <w:style w:type="paragraph" w:customStyle="1" w:styleId="aa">
    <w:name w:val="款"/>
    <w:basedOn w:val="a"/>
    <w:rsid w:val="00BF5B10"/>
    <w:pPr>
      <w:kinsoku w:val="0"/>
      <w:overflowPunct w:val="0"/>
      <w:spacing w:line="420" w:lineRule="exact"/>
      <w:ind w:leftChars="700" w:left="800" w:hangingChars="100" w:hanging="100"/>
      <w:jc w:val="both"/>
    </w:pPr>
    <w:rPr>
      <w:rFonts w:ascii="Times New Roman" w:eastAsia="華康細明體" w:hAnsi="Times New Roman" w:cs="Times New Roman"/>
      <w:bCs/>
      <w:noProof/>
      <w:sz w:val="21"/>
      <w:szCs w:val="24"/>
    </w:rPr>
  </w:style>
  <w:style w:type="paragraph" w:customStyle="1" w:styleId="ab">
    <w:name w:val="說明(一般項目)"/>
    <w:basedOn w:val="a"/>
    <w:next w:val="a"/>
    <w:rsid w:val="00BF5B10"/>
    <w:pPr>
      <w:kinsoku w:val="0"/>
      <w:overflowPunct w:val="0"/>
      <w:spacing w:line="420" w:lineRule="exact"/>
      <w:ind w:leftChars="200" w:left="300" w:hangingChars="100" w:hanging="100"/>
      <w:jc w:val="both"/>
    </w:pPr>
    <w:rPr>
      <w:rFonts w:ascii="Times New Roman" w:eastAsia="華康細明體" w:hAnsi="Times New Roman" w:cs="Times New Roman"/>
      <w:noProof/>
      <w:kern w:val="0"/>
      <w:sz w:val="21"/>
      <w:szCs w:val="24"/>
    </w:rPr>
  </w:style>
  <w:style w:type="paragraph" w:customStyle="1" w:styleId="ac">
    <w:name w:val="審查報告(標題)"/>
    <w:basedOn w:val="a"/>
    <w:next w:val="a"/>
    <w:rsid w:val="00BF5B10"/>
    <w:pPr>
      <w:kinsoku w:val="0"/>
      <w:overflowPunct w:val="0"/>
      <w:spacing w:afterLines="50"/>
      <w:ind w:leftChars="500" w:left="600" w:hangingChars="100" w:hanging="100"/>
      <w:jc w:val="both"/>
    </w:pPr>
    <w:rPr>
      <w:rFonts w:ascii="Times New Roman" w:eastAsia="華康楷書體W5" w:hAnsi="Times New Roman" w:cs="Times New Roman"/>
      <w:noProof/>
      <w:kern w:val="0"/>
      <w:sz w:val="28"/>
      <w:szCs w:val="24"/>
    </w:rPr>
  </w:style>
  <w:style w:type="paragraph" w:styleId="ad">
    <w:name w:val="header"/>
    <w:basedOn w:val="a"/>
    <w:link w:val="ae"/>
    <w:uiPriority w:val="99"/>
    <w:unhideWhenUsed/>
    <w:rsid w:val="00F110E6"/>
    <w:pPr>
      <w:tabs>
        <w:tab w:val="center" w:pos="4153"/>
        <w:tab w:val="right" w:pos="8306"/>
      </w:tabs>
      <w:snapToGrid w:val="0"/>
    </w:pPr>
    <w:rPr>
      <w:sz w:val="20"/>
      <w:szCs w:val="20"/>
    </w:rPr>
  </w:style>
  <w:style w:type="character" w:customStyle="1" w:styleId="ae">
    <w:name w:val="頁首 字元"/>
    <w:basedOn w:val="a0"/>
    <w:link w:val="ad"/>
    <w:uiPriority w:val="99"/>
    <w:rsid w:val="00F110E6"/>
    <w:rPr>
      <w:sz w:val="20"/>
      <w:szCs w:val="20"/>
    </w:rPr>
  </w:style>
  <w:style w:type="paragraph" w:styleId="af">
    <w:name w:val="footer"/>
    <w:basedOn w:val="a"/>
    <w:link w:val="af0"/>
    <w:uiPriority w:val="99"/>
    <w:unhideWhenUsed/>
    <w:rsid w:val="00F110E6"/>
    <w:pPr>
      <w:tabs>
        <w:tab w:val="center" w:pos="4153"/>
        <w:tab w:val="right" w:pos="8306"/>
      </w:tabs>
      <w:snapToGrid w:val="0"/>
    </w:pPr>
    <w:rPr>
      <w:sz w:val="20"/>
      <w:szCs w:val="20"/>
    </w:rPr>
  </w:style>
  <w:style w:type="character" w:customStyle="1" w:styleId="af0">
    <w:name w:val="頁尾 字元"/>
    <w:basedOn w:val="a0"/>
    <w:link w:val="af"/>
    <w:uiPriority w:val="99"/>
    <w:rsid w:val="00F110E6"/>
    <w:rPr>
      <w:sz w:val="20"/>
      <w:szCs w:val="20"/>
    </w:rPr>
  </w:style>
  <w:style w:type="table" w:styleId="af1">
    <w:name w:val="Table Grid"/>
    <w:basedOn w:val="a1"/>
    <w:uiPriority w:val="39"/>
    <w:rsid w:val="00CA6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E14273"/>
    <w:rPr>
      <w:rFonts w:ascii="新細明體" w:eastAsia="新細明體" w:hAnsi="新細明體" w:cs="新細明體"/>
      <w:b/>
      <w:bCs/>
      <w:kern w:val="36"/>
      <w:sz w:val="48"/>
      <w:szCs w:val="48"/>
    </w:rPr>
  </w:style>
  <w:style w:type="character" w:styleId="af2">
    <w:name w:val="Hyperlink"/>
    <w:basedOn w:val="a0"/>
    <w:uiPriority w:val="99"/>
    <w:unhideWhenUsed/>
    <w:rsid w:val="00E14273"/>
    <w:rPr>
      <w:color w:val="0563C1" w:themeColor="hyperlink"/>
      <w:u w:val="single"/>
    </w:rPr>
  </w:style>
  <w:style w:type="paragraph" w:styleId="af3">
    <w:name w:val="List Paragraph"/>
    <w:basedOn w:val="a"/>
    <w:uiPriority w:val="34"/>
    <w:qFormat/>
    <w:rsid w:val="00E14273"/>
    <w:pPr>
      <w:ind w:leftChars="200" w:left="480"/>
    </w:pPr>
  </w:style>
  <w:style w:type="table" w:styleId="13">
    <w:name w:val="Plain Table 1"/>
    <w:basedOn w:val="a1"/>
    <w:uiPriority w:val="41"/>
    <w:rsid w:val="006F175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4">
    <w:name w:val="Balloon Text"/>
    <w:basedOn w:val="a"/>
    <w:link w:val="af5"/>
    <w:uiPriority w:val="99"/>
    <w:semiHidden/>
    <w:unhideWhenUsed/>
    <w:rsid w:val="00C9455D"/>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94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7858">
      <w:bodyDiv w:val="1"/>
      <w:marLeft w:val="0"/>
      <w:marRight w:val="0"/>
      <w:marTop w:val="0"/>
      <w:marBottom w:val="0"/>
      <w:divBdr>
        <w:top w:val="none" w:sz="0" w:space="0" w:color="auto"/>
        <w:left w:val="none" w:sz="0" w:space="0" w:color="auto"/>
        <w:bottom w:val="none" w:sz="0" w:space="0" w:color="auto"/>
        <w:right w:val="none" w:sz="0" w:space="0" w:color="auto"/>
      </w:divBdr>
    </w:div>
    <w:div w:id="882135003">
      <w:bodyDiv w:val="1"/>
      <w:marLeft w:val="0"/>
      <w:marRight w:val="0"/>
      <w:marTop w:val="0"/>
      <w:marBottom w:val="0"/>
      <w:divBdr>
        <w:top w:val="none" w:sz="0" w:space="0" w:color="auto"/>
        <w:left w:val="none" w:sz="0" w:space="0" w:color="auto"/>
        <w:bottom w:val="none" w:sz="0" w:space="0" w:color="auto"/>
        <w:right w:val="none" w:sz="0" w:space="0" w:color="auto"/>
      </w:divBdr>
    </w:div>
    <w:div w:id="1471364303">
      <w:bodyDiv w:val="1"/>
      <w:marLeft w:val="0"/>
      <w:marRight w:val="0"/>
      <w:marTop w:val="0"/>
      <w:marBottom w:val="0"/>
      <w:divBdr>
        <w:top w:val="none" w:sz="0" w:space="0" w:color="auto"/>
        <w:left w:val="none" w:sz="0" w:space="0" w:color="auto"/>
        <w:bottom w:val="none" w:sz="0" w:space="0" w:color="auto"/>
        <w:right w:val="none" w:sz="0" w:space="0" w:color="auto"/>
      </w:divBdr>
      <w:divsChild>
        <w:div w:id="1593590580">
          <w:marLeft w:val="0"/>
          <w:marRight w:val="0"/>
          <w:marTop w:val="0"/>
          <w:marBottom w:val="0"/>
          <w:divBdr>
            <w:top w:val="none" w:sz="0" w:space="0" w:color="auto"/>
            <w:left w:val="none" w:sz="0" w:space="0" w:color="auto"/>
            <w:bottom w:val="none" w:sz="0" w:space="0" w:color="auto"/>
            <w:right w:val="none" w:sz="0" w:space="0" w:color="auto"/>
          </w:divBdr>
        </w:div>
        <w:div w:id="1081171797">
          <w:marLeft w:val="0"/>
          <w:marRight w:val="0"/>
          <w:marTop w:val="750"/>
          <w:marBottom w:val="0"/>
          <w:divBdr>
            <w:top w:val="none" w:sz="0" w:space="0" w:color="auto"/>
            <w:left w:val="none" w:sz="0" w:space="0" w:color="auto"/>
            <w:bottom w:val="none" w:sz="0" w:space="0" w:color="auto"/>
            <w:right w:val="none" w:sz="0" w:space="0" w:color="auto"/>
          </w:divBdr>
        </w:div>
      </w:divsChild>
    </w:div>
    <w:div w:id="16788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ws.harvard.edu/gazette/story/2011/09/harvard-university-endowment-earns-21-4-percent-return-for-fiscal-year/"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mc.harvard.edu/docs/Final_Annual_Report_2015.pdf" TargetMode="External"/><Relationship Id="rId12" Type="http://schemas.openxmlformats.org/officeDocument/2006/relationships/hyperlink" Target="http://harvardmagazine.com/2009/09/sharp-endowment-decline-reported" TargetMode="External"/><Relationship Id="rId17" Type="http://schemas.openxmlformats.org/officeDocument/2006/relationships/hyperlink" Target="http://harvardmagazine.com/2015/09/harvard-endowment-37-6-billion-and-new-policies" TargetMode="External"/><Relationship Id="rId2" Type="http://schemas.openxmlformats.org/officeDocument/2006/relationships/styles" Target="styles.xml"/><Relationship Id="rId16" Type="http://schemas.openxmlformats.org/officeDocument/2006/relationships/hyperlink" Target="http://news.harvard.edu/gazette/story/2014/09/harvard-university-endowment-delivers-15-4-return-for-fiscal-year-20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harvard.edu/gazette/story/2008/09/harvard-endowment-posts-solid-positive-return/" TargetMode="External"/><Relationship Id="rId5" Type="http://schemas.openxmlformats.org/officeDocument/2006/relationships/footnotes" Target="footnotes.xml"/><Relationship Id="rId15" Type="http://schemas.openxmlformats.org/officeDocument/2006/relationships/hyperlink" Target="http://harvardmagazine.com/2013/09/harvard-endowment-up-2-billion-to-32-7-billion" TargetMode="External"/><Relationship Id="rId10" Type="http://schemas.openxmlformats.org/officeDocument/2006/relationships/hyperlink" Target="http://news.harvard.edu/gazette/story/2007/08/harvard-endowment-posts-strong-positive-retur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ws.harvard.edu/gazette/2006/09.21/99-endowment.html" TargetMode="External"/><Relationship Id="rId14" Type="http://schemas.openxmlformats.org/officeDocument/2006/relationships/hyperlink" Target="http://harvardmagazine.com/2012/09/harvard-endowment-declines-to-30-7-billio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800">
                <a:solidFill>
                  <a:schemeClr val="tx1"/>
                </a:solidFill>
                <a:latin typeface="王漢宗特黑體繁" panose="02000500000000000000" pitchFamily="2" charset="-120"/>
                <a:ea typeface="王漢宗特黑體繁" panose="02000500000000000000" pitchFamily="2" charset="-120"/>
              </a:rPr>
              <a:t>四大基金</a:t>
            </a:r>
            <a:r>
              <a:rPr lang="zh-TW" altLang="en-US" sz="1800" b="1">
                <a:solidFill>
                  <a:schemeClr val="tx1"/>
                </a:solidFill>
                <a:latin typeface="王漢宗特黑體繁" panose="02000500000000000000" pitchFamily="2" charset="-120"/>
                <a:ea typeface="王漢宗特黑體繁" panose="02000500000000000000" pitchFamily="2" charset="-120"/>
              </a:rPr>
              <a:t>近十年收益率比較</a:t>
            </a:r>
            <a:r>
              <a:rPr lang="en-US" altLang="zh-TW" sz="1800" b="1">
                <a:solidFill>
                  <a:schemeClr val="tx1"/>
                </a:solidFill>
                <a:latin typeface="王漢宗特黑體繁" panose="02000500000000000000" pitchFamily="2" charset="-120"/>
                <a:ea typeface="王漢宗特黑體繁" panose="02000500000000000000" pitchFamily="2" charset="-120"/>
              </a:rPr>
              <a:t>(95~104</a:t>
            </a:r>
            <a:r>
              <a:rPr lang="zh-TW" altLang="en-US" sz="1800" b="1">
                <a:solidFill>
                  <a:schemeClr val="tx1"/>
                </a:solidFill>
                <a:latin typeface="王漢宗特黑體繁" panose="02000500000000000000" pitchFamily="2" charset="-120"/>
                <a:ea typeface="王漢宗特黑體繁" panose="02000500000000000000" pitchFamily="2" charset="-120"/>
              </a:rPr>
              <a:t>年</a:t>
            </a:r>
            <a:r>
              <a:rPr lang="en-US" altLang="zh-TW" sz="1800" b="1">
                <a:solidFill>
                  <a:schemeClr val="tx1"/>
                </a:solidFill>
                <a:latin typeface="王漢宗特黑體繁" panose="02000500000000000000" pitchFamily="2" charset="-120"/>
                <a:ea typeface="王漢宗特黑體繁" panose="02000500000000000000" pitchFamily="2" charset="-120"/>
              </a:rPr>
              <a:t>)</a:t>
            </a:r>
            <a:endParaRPr lang="zh-TW" altLang="en-US" sz="1800" b="1">
              <a:solidFill>
                <a:schemeClr val="tx1"/>
              </a:solidFill>
              <a:latin typeface="王漢宗特黑體繁" panose="02000500000000000000" pitchFamily="2" charset="-120"/>
              <a:ea typeface="王漢宗特黑體繁" panose="02000500000000000000" pitchFamily="2" charset="-120"/>
            </a:endParaRPr>
          </a:p>
        </c:rich>
      </c:tx>
      <c:layout>
        <c:manualLayout>
          <c:xMode val="edge"/>
          <c:yMode val="edge"/>
          <c:x val="0.17386459613722938"/>
          <c:y val="3.17885440790489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5.5074365704286962E-2"/>
          <c:y val="0.14416833489034209"/>
          <c:w val="0.92983647105840161"/>
          <c:h val="0.76469376356204066"/>
        </c:manualLayout>
      </c:layout>
      <c:lineChart>
        <c:grouping val="standard"/>
        <c:varyColors val="0"/>
        <c:ser>
          <c:idx val="1"/>
          <c:order val="0"/>
          <c:tx>
            <c:strRef>
              <c:f>工作表1!$B$1</c:f>
              <c:strCache>
                <c:ptCount val="1"/>
                <c:pt idx="0">
                  <c:v>勞保</c:v>
                </c:pt>
              </c:strCache>
            </c:strRef>
          </c:tx>
          <c:spPr>
            <a:ln w="28575" cap="rnd">
              <a:solidFill>
                <a:srgbClr val="FF0000"/>
              </a:solidFill>
              <a:prstDash val="lgDash"/>
              <a:round/>
            </a:ln>
            <a:effectLst/>
          </c:spPr>
          <c:marker>
            <c:symbol val="circle"/>
            <c:size val="5"/>
            <c:spPr>
              <a:solidFill>
                <a:srgbClr val="FF0000"/>
              </a:solidFill>
              <a:ln w="9525">
                <a:solidFill>
                  <a:srgbClr val="FF0000"/>
                </a:solidFill>
                <a:prstDash val="lgDash"/>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工作表1!$A$13:$A$22</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工作表1!$B$2:$B$22</c:f>
              <c:numCache>
                <c:formatCode>0.00_ </c:formatCode>
                <c:ptCount val="10"/>
                <c:pt idx="0">
                  <c:v>7.91</c:v>
                </c:pt>
                <c:pt idx="1">
                  <c:v>5.78</c:v>
                </c:pt>
                <c:pt idx="2">
                  <c:v>-16.53</c:v>
                </c:pt>
                <c:pt idx="3">
                  <c:v>18.21</c:v>
                </c:pt>
                <c:pt idx="4">
                  <c:v>3.96</c:v>
                </c:pt>
                <c:pt idx="5">
                  <c:v>-2.97</c:v>
                </c:pt>
                <c:pt idx="6">
                  <c:v>6.25</c:v>
                </c:pt>
                <c:pt idx="7">
                  <c:v>6.35</c:v>
                </c:pt>
                <c:pt idx="8">
                  <c:v>5.61</c:v>
                </c:pt>
                <c:pt idx="9">
                  <c:v>-0.55000000000000004</c:v>
                </c:pt>
              </c:numCache>
            </c:numRef>
          </c:val>
          <c:smooth val="0"/>
        </c:ser>
        <c:ser>
          <c:idx val="2"/>
          <c:order val="1"/>
          <c:tx>
            <c:strRef>
              <c:f>工作表1!$C$1</c:f>
              <c:strCache>
                <c:ptCount val="1"/>
                <c:pt idx="0">
                  <c:v>勞退</c:v>
                </c:pt>
              </c:strCache>
            </c:strRef>
          </c:tx>
          <c:spPr>
            <a:ln w="28575" cap="rnd">
              <a:solidFill>
                <a:srgbClr val="00B050"/>
              </a:solidFill>
              <a:prstDash val="sysDot"/>
              <a:round/>
            </a:ln>
            <a:effectLst/>
          </c:spPr>
          <c:marker>
            <c:symbol val="circle"/>
            <c:size val="5"/>
            <c:spPr>
              <a:solidFill>
                <a:srgbClr val="00B050"/>
              </a:solidFill>
              <a:ln w="9525">
                <a:solidFill>
                  <a:srgbClr val="00B050"/>
                </a:solidFill>
                <a:prstDash val="sysDot"/>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工作表1!$A$13:$A$22</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工作表1!$C$2:$C$22</c:f>
              <c:numCache>
                <c:formatCode>0.00_ </c:formatCode>
                <c:ptCount val="10"/>
                <c:pt idx="0">
                  <c:v>1.62</c:v>
                </c:pt>
                <c:pt idx="1">
                  <c:v>0.42</c:v>
                </c:pt>
                <c:pt idx="2">
                  <c:v>-6.05</c:v>
                </c:pt>
                <c:pt idx="3">
                  <c:v>11.83</c:v>
                </c:pt>
                <c:pt idx="4">
                  <c:v>1.54</c:v>
                </c:pt>
                <c:pt idx="5">
                  <c:v>-3.94</c:v>
                </c:pt>
                <c:pt idx="6">
                  <c:v>5.01</c:v>
                </c:pt>
                <c:pt idx="7">
                  <c:v>5.67</c:v>
                </c:pt>
                <c:pt idx="8">
                  <c:v>6.38</c:v>
                </c:pt>
                <c:pt idx="9">
                  <c:v>-0.09</c:v>
                </c:pt>
              </c:numCache>
            </c:numRef>
          </c:val>
          <c:smooth val="0"/>
        </c:ser>
        <c:ser>
          <c:idx val="3"/>
          <c:order val="2"/>
          <c:tx>
            <c:strRef>
              <c:f>工作表1!$D$1</c:f>
              <c:strCache>
                <c:ptCount val="1"/>
                <c:pt idx="0">
                  <c:v>公保</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工作表1!$A$13:$A$22</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工作表1!$D$2:$D$22</c:f>
              <c:numCache>
                <c:formatCode>0.00_ </c:formatCode>
                <c:ptCount val="10"/>
                <c:pt idx="0">
                  <c:v>5.67</c:v>
                </c:pt>
                <c:pt idx="1">
                  <c:v>6.84</c:v>
                </c:pt>
                <c:pt idx="2">
                  <c:v>-12.44</c:v>
                </c:pt>
                <c:pt idx="3">
                  <c:v>15.23</c:v>
                </c:pt>
                <c:pt idx="4">
                  <c:v>2.61</c:v>
                </c:pt>
                <c:pt idx="5">
                  <c:v>-2.87</c:v>
                </c:pt>
                <c:pt idx="6">
                  <c:v>4.72</c:v>
                </c:pt>
                <c:pt idx="7">
                  <c:v>6.02</c:v>
                </c:pt>
                <c:pt idx="8">
                  <c:v>6.72</c:v>
                </c:pt>
                <c:pt idx="9">
                  <c:v>0.37</c:v>
                </c:pt>
              </c:numCache>
            </c:numRef>
          </c:val>
          <c:smooth val="0"/>
        </c:ser>
        <c:ser>
          <c:idx val="4"/>
          <c:order val="3"/>
          <c:tx>
            <c:strRef>
              <c:f>工作表1!$E$1</c:f>
              <c:strCache>
                <c:ptCount val="1"/>
                <c:pt idx="0">
                  <c:v>退撫</c:v>
                </c:pt>
              </c:strCache>
            </c:strRef>
          </c:tx>
          <c:spPr>
            <a:ln w="952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工作表1!$A$13:$A$22</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工作表1!$E$2:$E$22</c:f>
              <c:numCache>
                <c:formatCode>0.00_ </c:formatCode>
                <c:ptCount val="10"/>
                <c:pt idx="0">
                  <c:v>10.93</c:v>
                </c:pt>
                <c:pt idx="1">
                  <c:v>4.91</c:v>
                </c:pt>
                <c:pt idx="2">
                  <c:v>-22.33</c:v>
                </c:pt>
                <c:pt idx="3">
                  <c:v>19.489999999999998</c:v>
                </c:pt>
                <c:pt idx="4">
                  <c:v>3.6</c:v>
                </c:pt>
                <c:pt idx="5">
                  <c:v>-5.98</c:v>
                </c:pt>
                <c:pt idx="6">
                  <c:v>6.17</c:v>
                </c:pt>
                <c:pt idx="7">
                  <c:v>8.3000000000000007</c:v>
                </c:pt>
                <c:pt idx="8">
                  <c:v>6.5</c:v>
                </c:pt>
                <c:pt idx="9">
                  <c:v>-1.94</c:v>
                </c:pt>
              </c:numCache>
            </c:numRef>
          </c:val>
          <c:smooth val="0"/>
        </c:ser>
        <c:dLbls>
          <c:showLegendKey val="0"/>
          <c:showVal val="0"/>
          <c:showCatName val="0"/>
          <c:showSerName val="0"/>
          <c:showPercent val="0"/>
          <c:showBubbleSize val="0"/>
        </c:dLbls>
        <c:marker val="1"/>
        <c:smooth val="0"/>
        <c:axId val="540723184"/>
        <c:axId val="540724304"/>
      </c:lineChart>
      <c:catAx>
        <c:axId val="54072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540724304"/>
        <c:crosses val="autoZero"/>
        <c:auto val="1"/>
        <c:lblAlgn val="ctr"/>
        <c:lblOffset val="100"/>
        <c:noMultiLvlLbl val="0"/>
      </c:catAx>
      <c:valAx>
        <c:axId val="54072430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40723184"/>
        <c:crosses val="autoZero"/>
        <c:crossBetween val="between"/>
      </c:valAx>
      <c:spPr>
        <a:noFill/>
        <a:ln>
          <a:noFill/>
        </a:ln>
        <a:effectLst/>
      </c:spPr>
    </c:plotArea>
    <c:legend>
      <c:legendPos val="b"/>
      <c:layout>
        <c:manualLayout>
          <c:xMode val="edge"/>
          <c:yMode val="edge"/>
          <c:x val="0.46436523100763871"/>
          <c:y val="0.84456307368358619"/>
          <c:w val="0.49889049803859525"/>
          <c:h val="5.3571803524559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2448</Words>
  <Characters>13959</Characters>
  <Application>Microsoft Office Word</Application>
  <DocSecurity>0</DocSecurity>
  <Lines>116</Lines>
  <Paragraphs>32</Paragraphs>
  <ScaleCrop>false</ScaleCrop>
  <Company>MSHOME</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dc:description/>
  <cp:lastModifiedBy>Jocelyn</cp:lastModifiedBy>
  <cp:revision>7</cp:revision>
  <cp:lastPrinted>2016-07-20T09:49:00Z</cp:lastPrinted>
  <dcterms:created xsi:type="dcterms:W3CDTF">2016-07-20T09:50:00Z</dcterms:created>
  <dcterms:modified xsi:type="dcterms:W3CDTF">2016-07-20T09:57:00Z</dcterms:modified>
</cp:coreProperties>
</file>