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ACF" w:rsidRPr="00616D9C" w:rsidRDefault="00412ACF" w:rsidP="00412ACF">
      <w:pPr>
        <w:spacing w:line="480" w:lineRule="exact"/>
        <w:ind w:left="395" w:hangingChars="101" w:hanging="395"/>
        <w:jc w:val="center"/>
        <w:rPr>
          <w:b/>
          <w:sz w:val="36"/>
          <w:szCs w:val="36"/>
        </w:rPr>
      </w:pPr>
      <w:r w:rsidRPr="004D0201">
        <w:rPr>
          <w:rFonts w:ascii="新細明體" w:eastAsia="新細明體" w:hAnsi="新細明體" w:cs="新細明體"/>
          <w:b/>
          <w:bCs/>
          <w:noProof/>
          <w:color w:val="3F3F41"/>
          <w:kern w:val="36"/>
          <w:sz w:val="39"/>
          <w:szCs w:val="39"/>
        </w:rPr>
        <mc:AlternateContent>
          <mc:Choice Requires="wps">
            <w:drawing>
              <wp:anchor distT="45720" distB="45720" distL="114300" distR="114300" simplePos="0" relativeHeight="251691008" behindDoc="0" locked="0" layoutInCell="1" allowOverlap="1" wp14:anchorId="1A5D3C70" wp14:editId="05E4567A">
                <wp:simplePos x="0" y="0"/>
                <wp:positionH relativeFrom="rightMargin">
                  <wp:posOffset>230505</wp:posOffset>
                </wp:positionH>
                <wp:positionV relativeFrom="paragraph">
                  <wp:posOffset>26035</wp:posOffset>
                </wp:positionV>
                <wp:extent cx="333375" cy="1404620"/>
                <wp:effectExtent l="0" t="0" r="28575" b="1397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4620"/>
                        </a:xfrm>
                        <a:prstGeom prst="rect">
                          <a:avLst/>
                        </a:prstGeom>
                        <a:solidFill>
                          <a:srgbClr val="FFFFFF"/>
                        </a:solidFill>
                        <a:ln w="9525">
                          <a:solidFill>
                            <a:srgbClr val="000000"/>
                          </a:solidFill>
                          <a:miter lim="800000"/>
                          <a:headEnd/>
                          <a:tailEnd/>
                        </a:ln>
                      </wps:spPr>
                      <wps:txbx>
                        <w:txbxContent>
                          <w:p w:rsidR="00412ACF" w:rsidRPr="004D0201" w:rsidRDefault="00412ACF" w:rsidP="00412ACF">
                            <w:pPr>
                              <w:rPr>
                                <w:sz w:val="30"/>
                                <w:szCs w:val="30"/>
                              </w:rPr>
                            </w:pPr>
                            <w:r w:rsidRPr="004D0201">
                              <w:rPr>
                                <w:rFonts w:hint="eastAsia"/>
                                <w:sz w:val="30"/>
                                <w:szCs w:val="30"/>
                              </w:rPr>
                              <w:t>附</w:t>
                            </w:r>
                          </w:p>
                          <w:p w:rsidR="00412ACF" w:rsidRPr="004D0201" w:rsidRDefault="00412ACF" w:rsidP="00412ACF">
                            <w:pPr>
                              <w:rPr>
                                <w:sz w:val="30"/>
                                <w:szCs w:val="30"/>
                              </w:rPr>
                            </w:pPr>
                            <w:r w:rsidRPr="004D0201">
                              <w:rPr>
                                <w:rFonts w:hint="eastAsia"/>
                                <w:sz w:val="30"/>
                                <w:szCs w:val="30"/>
                              </w:rPr>
                              <w:t>件</w:t>
                            </w:r>
                          </w:p>
                          <w:p w:rsidR="00412ACF" w:rsidRPr="004D0201" w:rsidRDefault="00412ACF" w:rsidP="00412ACF">
                            <w:pPr>
                              <w:rPr>
                                <w:sz w:val="30"/>
                                <w:szCs w:val="30"/>
                              </w:rPr>
                            </w:pPr>
                            <w:r w:rsidRPr="004D0201">
                              <w:rPr>
                                <w:rFonts w:hint="eastAsia"/>
                                <w:sz w:val="30"/>
                                <w:szCs w:val="30"/>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5D3C70" id="_x0000_t202" coordsize="21600,21600" o:spt="202" path="m,l,21600r21600,l21600,xe">
                <v:stroke joinstyle="miter"/>
                <v:path gradientshapeok="t" o:connecttype="rect"/>
              </v:shapetype>
              <v:shape id="文字方塊 2" o:spid="_x0000_s1026" type="#_x0000_t202" style="position:absolute;left:0;text-align:left;margin-left:18.15pt;margin-top:2.05pt;width:26.25pt;height:110.6pt;z-index:25169100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">
                <v:textbox style="mso-fit-shape-to-text:t">
                  <w:txbxContent>
                    <w:p w:rsidR="00412ACF" w:rsidRPr="004D0201" w:rsidRDefault="00412ACF" w:rsidP="00412ACF">
                      <w:pPr>
                        <w:rPr>
                          <w:sz w:val="30"/>
                          <w:szCs w:val="30"/>
                        </w:rPr>
                      </w:pPr>
                      <w:r w:rsidRPr="004D0201">
                        <w:rPr>
                          <w:rFonts w:hint="eastAsia"/>
                          <w:sz w:val="30"/>
                          <w:szCs w:val="30"/>
                        </w:rPr>
                        <w:t>附</w:t>
                      </w:r>
                    </w:p>
                    <w:p w:rsidR="00412ACF" w:rsidRPr="004D0201" w:rsidRDefault="00412ACF" w:rsidP="00412ACF">
                      <w:pPr>
                        <w:rPr>
                          <w:sz w:val="30"/>
                          <w:szCs w:val="30"/>
                        </w:rPr>
                      </w:pPr>
                      <w:r w:rsidRPr="004D0201">
                        <w:rPr>
                          <w:rFonts w:hint="eastAsia"/>
                          <w:sz w:val="30"/>
                          <w:szCs w:val="30"/>
                        </w:rPr>
                        <w:t>件</w:t>
                      </w:r>
                    </w:p>
                    <w:p w:rsidR="00412ACF" w:rsidRPr="004D0201" w:rsidRDefault="00412ACF" w:rsidP="00412ACF">
                      <w:pPr>
                        <w:rPr>
                          <w:sz w:val="30"/>
                          <w:szCs w:val="30"/>
                        </w:rPr>
                      </w:pPr>
                      <w:r w:rsidRPr="004D0201">
                        <w:rPr>
                          <w:rFonts w:hint="eastAsia"/>
                          <w:sz w:val="30"/>
                          <w:szCs w:val="30"/>
                        </w:rPr>
                        <w:t>一</w:t>
                      </w:r>
                    </w:p>
                  </w:txbxContent>
                </v:textbox>
                <w10:wrap type="square" anchorx="margin"/>
              </v:shape>
            </w:pict>
          </mc:Fallback>
        </mc:AlternateContent>
      </w:r>
      <w:r w:rsidRPr="00616D9C">
        <w:rPr>
          <w:b/>
          <w:sz w:val="36"/>
          <w:szCs w:val="36"/>
        </w:rPr>
        <w:t>哈佛大學校務基金概況</w:t>
      </w:r>
    </w:p>
    <w:p w:rsidR="00412ACF" w:rsidRPr="00616D9C" w:rsidRDefault="00412ACF" w:rsidP="00412ACF">
      <w:pPr>
        <w:spacing w:line="480" w:lineRule="exact"/>
        <w:rPr>
          <w:sz w:val="28"/>
          <w:szCs w:val="28"/>
        </w:rPr>
      </w:pPr>
    </w:p>
    <w:p w:rsidR="00412ACF" w:rsidRPr="00616D9C" w:rsidRDefault="00412ACF" w:rsidP="00412ACF">
      <w:pPr>
        <w:pStyle w:val="af3"/>
        <w:numPr>
          <w:ilvl w:val="0"/>
          <w:numId w:val="2"/>
        </w:numPr>
        <w:spacing w:line="480" w:lineRule="exact"/>
        <w:ind w:leftChars="0" w:left="0" w:firstLine="0"/>
        <w:rPr>
          <w:color w:val="000000" w:themeColor="text1"/>
          <w:sz w:val="28"/>
          <w:szCs w:val="28"/>
        </w:rPr>
      </w:pPr>
      <w:r w:rsidRPr="00616D9C">
        <w:rPr>
          <w:color w:val="000000" w:themeColor="text1"/>
          <w:sz w:val="28"/>
          <w:szCs w:val="28"/>
        </w:rPr>
        <w:t>此基金由哈佛管理公司</w:t>
      </w:r>
      <w:r w:rsidRPr="00616D9C">
        <w:rPr>
          <w:color w:val="000000" w:themeColor="text1"/>
          <w:sz w:val="28"/>
          <w:szCs w:val="28"/>
        </w:rPr>
        <w:t xml:space="preserve">(Harvard Management Company, HMC) </w:t>
      </w:r>
      <w:r w:rsidRPr="00616D9C">
        <w:rPr>
          <w:color w:val="000000" w:themeColor="text1"/>
          <w:sz w:val="28"/>
          <w:szCs w:val="28"/>
        </w:rPr>
        <w:t>進行操作。</w:t>
      </w:r>
    </w:p>
    <w:p w:rsidR="00412ACF" w:rsidRPr="00616D9C" w:rsidRDefault="00412ACF" w:rsidP="00412ACF">
      <w:pPr>
        <w:pStyle w:val="af3"/>
        <w:numPr>
          <w:ilvl w:val="0"/>
          <w:numId w:val="2"/>
        </w:numPr>
        <w:spacing w:line="480" w:lineRule="exact"/>
        <w:ind w:leftChars="0" w:left="0" w:firstLine="0"/>
        <w:rPr>
          <w:color w:val="000000" w:themeColor="text1"/>
          <w:sz w:val="28"/>
          <w:szCs w:val="28"/>
        </w:rPr>
      </w:pPr>
      <w:r w:rsidRPr="00616D9C">
        <w:rPr>
          <w:rFonts w:eastAsia="新細明體" w:cs="新細明體"/>
          <w:color w:val="000000" w:themeColor="text1"/>
          <w:sz w:val="28"/>
          <w:szCs w:val="28"/>
        </w:rPr>
        <w:t>該公司</w:t>
      </w:r>
      <w:r w:rsidRPr="00616D9C">
        <w:rPr>
          <w:color w:val="000000" w:themeColor="text1"/>
          <w:sz w:val="28"/>
          <w:szCs w:val="28"/>
        </w:rPr>
        <w:t>基金管理人數</w:t>
      </w:r>
      <w:r w:rsidRPr="00616D9C">
        <w:rPr>
          <w:color w:val="000000" w:themeColor="text1"/>
          <w:sz w:val="28"/>
          <w:szCs w:val="28"/>
        </w:rPr>
        <w:t>:2015</w:t>
      </w:r>
      <w:r w:rsidRPr="00616D9C">
        <w:rPr>
          <w:color w:val="000000" w:themeColor="text1"/>
          <w:sz w:val="28"/>
          <w:szCs w:val="28"/>
        </w:rPr>
        <w:t>年有</w:t>
      </w:r>
      <w:r w:rsidRPr="00616D9C">
        <w:rPr>
          <w:color w:val="000000" w:themeColor="text1"/>
          <w:sz w:val="28"/>
          <w:szCs w:val="28"/>
        </w:rPr>
        <w:t>265</w:t>
      </w:r>
      <w:r w:rsidRPr="00616D9C">
        <w:rPr>
          <w:color w:val="000000" w:themeColor="text1"/>
          <w:sz w:val="28"/>
          <w:szCs w:val="28"/>
        </w:rPr>
        <w:t>人，</w:t>
      </w:r>
      <w:r w:rsidRPr="00616D9C">
        <w:rPr>
          <w:color w:val="000000" w:themeColor="text1"/>
          <w:sz w:val="28"/>
          <w:szCs w:val="28"/>
        </w:rPr>
        <w:t>2016</w:t>
      </w:r>
      <w:r w:rsidRPr="00616D9C">
        <w:rPr>
          <w:color w:val="000000" w:themeColor="text1"/>
          <w:sz w:val="28"/>
          <w:szCs w:val="28"/>
        </w:rPr>
        <w:t>年減至約</w:t>
      </w:r>
      <w:r w:rsidRPr="00616D9C">
        <w:rPr>
          <w:color w:val="000000" w:themeColor="text1"/>
          <w:sz w:val="28"/>
          <w:szCs w:val="28"/>
        </w:rPr>
        <w:t>200</w:t>
      </w:r>
      <w:r w:rsidRPr="00616D9C">
        <w:rPr>
          <w:color w:val="000000" w:themeColor="text1"/>
          <w:sz w:val="28"/>
          <w:szCs w:val="28"/>
        </w:rPr>
        <w:t>人。</w:t>
      </w:r>
    </w:p>
    <w:p w:rsidR="00412ACF" w:rsidRPr="00616D9C" w:rsidRDefault="00412ACF" w:rsidP="00412ACF">
      <w:pPr>
        <w:pStyle w:val="af3"/>
        <w:numPr>
          <w:ilvl w:val="0"/>
          <w:numId w:val="2"/>
        </w:numPr>
        <w:spacing w:line="480" w:lineRule="exact"/>
        <w:ind w:leftChars="0" w:left="0" w:firstLine="0"/>
        <w:rPr>
          <w:rStyle w:val="af2"/>
          <w:color w:val="000000" w:themeColor="text1"/>
          <w:sz w:val="28"/>
          <w:szCs w:val="28"/>
        </w:rPr>
      </w:pPr>
      <w:r w:rsidRPr="00616D9C">
        <w:rPr>
          <w:bCs/>
          <w:color w:val="000000" w:themeColor="text1"/>
          <w:sz w:val="28"/>
          <w:szCs w:val="28"/>
          <w:shd w:val="clear" w:color="auto" w:fill="FFFFFF"/>
        </w:rPr>
        <w:t>總裁兼執行長</w:t>
      </w:r>
      <w:r w:rsidRPr="00616D9C">
        <w:rPr>
          <w:bCs/>
          <w:color w:val="000000" w:themeColor="text1"/>
          <w:sz w:val="28"/>
          <w:szCs w:val="28"/>
          <w:shd w:val="clear" w:color="auto" w:fill="FFFFFF"/>
        </w:rPr>
        <w:t>Stephen Blyth 2014</w:t>
      </w:r>
      <w:r w:rsidRPr="00616D9C">
        <w:rPr>
          <w:bCs/>
          <w:color w:val="000000" w:themeColor="text1"/>
          <w:sz w:val="28"/>
          <w:szCs w:val="28"/>
          <w:shd w:val="clear" w:color="auto" w:fill="FFFFFF"/>
        </w:rPr>
        <w:t>年的年薪</w:t>
      </w:r>
      <w:r w:rsidRPr="00616D9C">
        <w:rPr>
          <w:bCs/>
          <w:color w:val="000000" w:themeColor="text1"/>
          <w:sz w:val="28"/>
          <w:szCs w:val="28"/>
          <w:shd w:val="clear" w:color="auto" w:fill="FFFFFF"/>
        </w:rPr>
        <w:t>830</w:t>
      </w:r>
      <w:r w:rsidRPr="00616D9C">
        <w:rPr>
          <w:bCs/>
          <w:color w:val="000000" w:themeColor="text1"/>
          <w:sz w:val="28"/>
          <w:szCs w:val="28"/>
          <w:shd w:val="clear" w:color="auto" w:fill="FFFFFF"/>
        </w:rPr>
        <w:t>萬美元</w:t>
      </w:r>
      <w:r w:rsidRPr="00616D9C">
        <w:rPr>
          <w:bCs/>
          <w:color w:val="000000" w:themeColor="text1"/>
          <w:sz w:val="28"/>
          <w:szCs w:val="28"/>
          <w:shd w:val="clear" w:color="auto" w:fill="FFFFFF"/>
        </w:rPr>
        <w:t>(</w:t>
      </w:r>
      <w:r w:rsidRPr="00616D9C">
        <w:rPr>
          <w:bCs/>
          <w:color w:val="000000" w:themeColor="text1"/>
          <w:sz w:val="28"/>
          <w:szCs w:val="28"/>
          <w:shd w:val="clear" w:color="auto" w:fill="FFFFFF"/>
        </w:rPr>
        <w:t>台幣二億六千五百六十萬</w:t>
      </w:r>
      <w:r w:rsidRPr="00616D9C">
        <w:rPr>
          <w:bCs/>
          <w:color w:val="000000" w:themeColor="text1"/>
          <w:sz w:val="28"/>
          <w:szCs w:val="28"/>
          <w:shd w:val="clear" w:color="auto" w:fill="FFFFFF"/>
        </w:rPr>
        <w:t>)</w:t>
      </w:r>
    </w:p>
    <w:p w:rsidR="00412ACF" w:rsidRPr="00616D9C" w:rsidRDefault="00412ACF" w:rsidP="00412ACF">
      <w:pPr>
        <w:pStyle w:val="af3"/>
        <w:widowControl/>
        <w:numPr>
          <w:ilvl w:val="0"/>
          <w:numId w:val="2"/>
        </w:numPr>
        <w:spacing w:line="480" w:lineRule="exact"/>
        <w:ind w:leftChars="0" w:left="0" w:firstLine="0"/>
        <w:rPr>
          <w:rFonts w:eastAsia="新細明體" w:cs="Times New Roman"/>
          <w:color w:val="000000" w:themeColor="text1"/>
          <w:kern w:val="0"/>
          <w:sz w:val="28"/>
          <w:szCs w:val="28"/>
        </w:rPr>
      </w:pPr>
      <w:r w:rsidRPr="00616D9C">
        <w:rPr>
          <w:rFonts w:eastAsia="新細明體" w:cs="Times New Roman"/>
          <w:color w:val="000000" w:themeColor="text1"/>
          <w:kern w:val="0"/>
          <w:sz w:val="28"/>
          <w:szCs w:val="28"/>
        </w:rPr>
        <w:t>2012</w:t>
      </w:r>
      <w:r w:rsidRPr="00616D9C">
        <w:rPr>
          <w:rFonts w:eastAsia="新細明體" w:cs="Times New Roman"/>
          <w:color w:val="000000" w:themeColor="text1"/>
          <w:kern w:val="0"/>
          <w:sz w:val="28"/>
          <w:szCs w:val="28"/>
        </w:rPr>
        <w:t>年哈佛大學總共付給這些高階經理人</w:t>
      </w:r>
      <w:r w:rsidRPr="00616D9C">
        <w:rPr>
          <w:rFonts w:eastAsia="新細明體" w:cs="Times New Roman"/>
          <w:color w:val="000000" w:themeColor="text1"/>
          <w:kern w:val="0"/>
          <w:sz w:val="28"/>
          <w:szCs w:val="28"/>
        </w:rPr>
        <w:t>3280</w:t>
      </w:r>
      <w:r w:rsidRPr="00616D9C">
        <w:rPr>
          <w:rFonts w:eastAsia="新細明體" w:cs="Times New Roman"/>
          <w:color w:val="000000" w:themeColor="text1"/>
          <w:kern w:val="0"/>
          <w:sz w:val="28"/>
          <w:szCs w:val="28"/>
        </w:rPr>
        <w:t>萬美元的薪酬。</w:t>
      </w:r>
    </w:p>
    <w:p w:rsidR="00412ACF" w:rsidRPr="00616D9C" w:rsidRDefault="00412ACF" w:rsidP="00412ACF">
      <w:pPr>
        <w:pStyle w:val="af3"/>
        <w:widowControl/>
        <w:numPr>
          <w:ilvl w:val="0"/>
          <w:numId w:val="2"/>
        </w:numPr>
        <w:spacing w:line="480" w:lineRule="exact"/>
        <w:ind w:leftChars="0" w:left="0" w:firstLine="0"/>
        <w:rPr>
          <w:rFonts w:eastAsia="新細明體" w:cs="Times New Roman"/>
          <w:color w:val="000000" w:themeColor="text1"/>
          <w:kern w:val="0"/>
          <w:sz w:val="28"/>
          <w:szCs w:val="28"/>
        </w:rPr>
      </w:pPr>
      <w:r w:rsidRPr="00616D9C">
        <w:rPr>
          <w:rFonts w:eastAsia="新細明體" w:cs="Times New Roman"/>
          <w:color w:val="000000" w:themeColor="text1"/>
          <w:kern w:val="0"/>
          <w:sz w:val="28"/>
          <w:szCs w:val="28"/>
          <w:u w:val="single"/>
        </w:rPr>
        <w:t>薪酬最高</w:t>
      </w:r>
      <w:r w:rsidRPr="00616D9C">
        <w:rPr>
          <w:rFonts w:eastAsia="新細明體" w:cs="Times New Roman"/>
          <w:color w:val="000000" w:themeColor="text1"/>
          <w:kern w:val="0"/>
          <w:sz w:val="28"/>
          <w:szCs w:val="28"/>
        </w:rPr>
        <w:t>的經理人</w:t>
      </w:r>
      <w:r w:rsidRPr="00616D9C">
        <w:rPr>
          <w:rFonts w:eastAsia="新細明體" w:cs="Times New Roman"/>
          <w:color w:val="000000" w:themeColor="text1"/>
          <w:kern w:val="0"/>
          <w:sz w:val="28"/>
          <w:szCs w:val="28"/>
          <w:u w:val="single"/>
        </w:rPr>
        <w:t>2011-</w:t>
      </w:r>
      <w:proofErr w:type="gramStart"/>
      <w:r w:rsidRPr="00616D9C">
        <w:rPr>
          <w:rFonts w:eastAsia="新細明體" w:cs="Times New Roman"/>
          <w:color w:val="000000" w:themeColor="text1"/>
          <w:kern w:val="0"/>
          <w:sz w:val="28"/>
          <w:szCs w:val="28"/>
          <w:u w:val="single"/>
        </w:rPr>
        <w:t>2013</w:t>
      </w:r>
      <w:r w:rsidRPr="00616D9C">
        <w:rPr>
          <w:rFonts w:eastAsia="新細明體" w:cs="Times New Roman"/>
          <w:color w:val="000000" w:themeColor="text1"/>
          <w:kern w:val="0"/>
          <w:sz w:val="28"/>
          <w:szCs w:val="28"/>
          <w:u w:val="single"/>
        </w:rPr>
        <w:t>年之薪酬</w:t>
      </w:r>
      <w:proofErr w:type="gramEnd"/>
    </w:p>
    <w:p w:rsidR="00412ACF" w:rsidRPr="00616D9C" w:rsidRDefault="00412ACF" w:rsidP="00412ACF">
      <w:pPr>
        <w:pStyle w:val="af3"/>
        <w:widowControl/>
        <w:wordWrap w:val="0"/>
        <w:spacing w:line="480" w:lineRule="exact"/>
        <w:ind w:leftChars="0" w:firstLine="190"/>
        <w:jc w:val="right"/>
        <w:rPr>
          <w:rFonts w:eastAsia="新細明體" w:cs="Times New Roman"/>
          <w:color w:val="000000" w:themeColor="text1"/>
          <w:kern w:val="0"/>
          <w:sz w:val="28"/>
          <w:szCs w:val="28"/>
        </w:rPr>
      </w:pPr>
      <w:r w:rsidRPr="00616D9C">
        <w:rPr>
          <w:szCs w:val="24"/>
        </w:rPr>
        <w:t>單位</w:t>
      </w:r>
      <w:r w:rsidRPr="00616D9C">
        <w:rPr>
          <w:szCs w:val="24"/>
        </w:rPr>
        <w:t>:</w:t>
      </w:r>
      <w:r w:rsidRPr="00616D9C">
        <w:rPr>
          <w:rFonts w:eastAsia="新細明體" w:cs="Times New Roman"/>
          <w:color w:val="000000"/>
          <w:kern w:val="0"/>
          <w:szCs w:val="24"/>
        </w:rPr>
        <w:t>萬美元</w:t>
      </w:r>
      <w:r w:rsidRPr="00616D9C">
        <w:rPr>
          <w:rFonts w:eastAsia="新細明體" w:cs="Times New Roman"/>
          <w:color w:val="000000"/>
          <w:kern w:val="0"/>
          <w:szCs w:val="24"/>
        </w:rPr>
        <w:t xml:space="preserve"> </w:t>
      </w:r>
    </w:p>
    <w:tbl>
      <w:tblPr>
        <w:tblStyle w:val="af1"/>
        <w:tblW w:w="9493" w:type="dxa"/>
        <w:jc w:val="center"/>
        <w:tblLook w:val="04A0" w:firstRow="1" w:lastRow="0" w:firstColumn="1" w:lastColumn="0" w:noHBand="0" w:noVBand="1"/>
      </w:tblPr>
      <w:tblGrid>
        <w:gridCol w:w="1980"/>
        <w:gridCol w:w="1705"/>
        <w:gridCol w:w="1842"/>
        <w:gridCol w:w="1843"/>
        <w:gridCol w:w="2123"/>
      </w:tblGrid>
      <w:tr w:rsidR="00412ACF" w:rsidRPr="00616D9C" w:rsidTr="00026629">
        <w:trPr>
          <w:trHeight w:hRule="exact" w:val="653"/>
          <w:jc w:val="center"/>
        </w:trPr>
        <w:tc>
          <w:tcPr>
            <w:tcW w:w="1980" w:type="dxa"/>
            <w:tcBorders>
              <w:top w:val="single" w:sz="18" w:space="0" w:color="000000"/>
              <w:left w:val="single" w:sz="18" w:space="0" w:color="000000"/>
              <w:bottom w:val="double" w:sz="4" w:space="0" w:color="000000"/>
            </w:tcBorders>
            <w:vAlign w:val="center"/>
          </w:tcPr>
          <w:p w:rsidR="00412ACF" w:rsidRPr="00616D9C" w:rsidRDefault="00412ACF" w:rsidP="00026629">
            <w:pPr>
              <w:spacing w:line="480" w:lineRule="exact"/>
              <w:jc w:val="center"/>
              <w:rPr>
                <w:sz w:val="28"/>
                <w:szCs w:val="28"/>
              </w:rPr>
            </w:pPr>
            <w:r w:rsidRPr="00616D9C">
              <w:rPr>
                <w:sz w:val="28"/>
                <w:szCs w:val="28"/>
              </w:rPr>
              <w:t>姓名</w:t>
            </w:r>
          </w:p>
        </w:tc>
        <w:tc>
          <w:tcPr>
            <w:tcW w:w="1705" w:type="dxa"/>
            <w:tcBorders>
              <w:top w:val="single" w:sz="18" w:space="0" w:color="000000"/>
              <w:bottom w:val="double" w:sz="4" w:space="0" w:color="000000"/>
            </w:tcBorders>
            <w:vAlign w:val="center"/>
          </w:tcPr>
          <w:p w:rsidR="00412ACF" w:rsidRPr="00616D9C" w:rsidRDefault="00412ACF" w:rsidP="00026629">
            <w:pPr>
              <w:spacing w:line="480" w:lineRule="exact"/>
              <w:jc w:val="center"/>
              <w:rPr>
                <w:sz w:val="26"/>
                <w:szCs w:val="26"/>
              </w:rPr>
            </w:pPr>
            <w:r w:rsidRPr="00616D9C">
              <w:rPr>
                <w:sz w:val="26"/>
                <w:szCs w:val="26"/>
              </w:rPr>
              <w:t>職稱</w:t>
            </w:r>
          </w:p>
        </w:tc>
        <w:tc>
          <w:tcPr>
            <w:tcW w:w="1842" w:type="dxa"/>
            <w:tcBorders>
              <w:top w:val="single" w:sz="18" w:space="0" w:color="000000"/>
              <w:bottom w:val="double" w:sz="4" w:space="0" w:color="000000"/>
            </w:tcBorders>
            <w:vAlign w:val="center"/>
          </w:tcPr>
          <w:p w:rsidR="00412ACF" w:rsidRPr="00616D9C" w:rsidRDefault="00412ACF" w:rsidP="00026629">
            <w:pPr>
              <w:spacing w:line="480" w:lineRule="exact"/>
              <w:jc w:val="center"/>
              <w:rPr>
                <w:sz w:val="28"/>
                <w:szCs w:val="28"/>
              </w:rPr>
            </w:pPr>
            <w:r w:rsidRPr="00616D9C">
              <w:rPr>
                <w:sz w:val="28"/>
                <w:szCs w:val="28"/>
              </w:rPr>
              <w:t>2011</w:t>
            </w:r>
            <w:r w:rsidRPr="00616D9C">
              <w:rPr>
                <w:sz w:val="28"/>
                <w:szCs w:val="28"/>
              </w:rPr>
              <w:t>年薪酬</w:t>
            </w:r>
          </w:p>
        </w:tc>
        <w:tc>
          <w:tcPr>
            <w:tcW w:w="1843" w:type="dxa"/>
            <w:tcBorders>
              <w:top w:val="single" w:sz="18" w:space="0" w:color="000000"/>
              <w:bottom w:val="double" w:sz="4" w:space="0" w:color="000000"/>
            </w:tcBorders>
            <w:vAlign w:val="center"/>
          </w:tcPr>
          <w:p w:rsidR="00412ACF" w:rsidRPr="00616D9C" w:rsidRDefault="00412ACF" w:rsidP="00026629">
            <w:pPr>
              <w:spacing w:line="480" w:lineRule="exact"/>
              <w:jc w:val="center"/>
              <w:rPr>
                <w:sz w:val="28"/>
                <w:szCs w:val="28"/>
              </w:rPr>
            </w:pPr>
            <w:r w:rsidRPr="00616D9C">
              <w:rPr>
                <w:sz w:val="28"/>
                <w:szCs w:val="28"/>
              </w:rPr>
              <w:t>2012</w:t>
            </w:r>
            <w:r w:rsidRPr="00616D9C">
              <w:rPr>
                <w:sz w:val="28"/>
                <w:szCs w:val="28"/>
              </w:rPr>
              <w:t>年薪酬</w:t>
            </w:r>
          </w:p>
        </w:tc>
        <w:tc>
          <w:tcPr>
            <w:tcW w:w="2123" w:type="dxa"/>
            <w:tcBorders>
              <w:top w:val="single" w:sz="18" w:space="0" w:color="000000"/>
              <w:bottom w:val="double" w:sz="4" w:space="0" w:color="000000"/>
              <w:right w:val="single" w:sz="18" w:space="0" w:color="000000"/>
            </w:tcBorders>
            <w:vAlign w:val="center"/>
          </w:tcPr>
          <w:p w:rsidR="00412ACF" w:rsidRPr="00616D9C" w:rsidRDefault="00412ACF" w:rsidP="00026629">
            <w:pPr>
              <w:spacing w:line="480" w:lineRule="exact"/>
              <w:jc w:val="center"/>
              <w:rPr>
                <w:sz w:val="28"/>
                <w:szCs w:val="28"/>
              </w:rPr>
            </w:pPr>
            <w:r w:rsidRPr="00616D9C">
              <w:rPr>
                <w:sz w:val="28"/>
                <w:szCs w:val="28"/>
              </w:rPr>
              <w:t>2013</w:t>
            </w:r>
            <w:r w:rsidRPr="00616D9C">
              <w:rPr>
                <w:sz w:val="28"/>
                <w:szCs w:val="28"/>
              </w:rPr>
              <w:t>年薪</w:t>
            </w:r>
          </w:p>
        </w:tc>
      </w:tr>
      <w:tr w:rsidR="00412ACF" w:rsidRPr="00616D9C" w:rsidTr="00026629">
        <w:trPr>
          <w:jc w:val="center"/>
        </w:trPr>
        <w:tc>
          <w:tcPr>
            <w:tcW w:w="1980" w:type="dxa"/>
            <w:tcBorders>
              <w:top w:val="double" w:sz="4" w:space="0" w:color="000000"/>
              <w:left w:val="single" w:sz="18" w:space="0" w:color="000000"/>
            </w:tcBorders>
            <w:vAlign w:val="center"/>
          </w:tcPr>
          <w:p w:rsidR="00412ACF" w:rsidRPr="00616D9C" w:rsidRDefault="00412ACF" w:rsidP="00026629">
            <w:pPr>
              <w:spacing w:line="480" w:lineRule="exact"/>
              <w:rPr>
                <w:sz w:val="28"/>
                <w:szCs w:val="28"/>
              </w:rPr>
            </w:pPr>
            <w:r w:rsidRPr="00616D9C">
              <w:rPr>
                <w:rFonts w:eastAsia="新細明體" w:cs="Times New Roman"/>
                <w:color w:val="000000"/>
                <w:kern w:val="0"/>
                <w:sz w:val="28"/>
                <w:szCs w:val="28"/>
              </w:rPr>
              <w:t xml:space="preserve">Jane L. </w:t>
            </w:r>
            <w:proofErr w:type="spellStart"/>
            <w:r w:rsidRPr="00616D9C">
              <w:rPr>
                <w:rFonts w:eastAsia="新細明體" w:cs="Times New Roman"/>
                <w:color w:val="000000"/>
                <w:kern w:val="0"/>
                <w:sz w:val="28"/>
                <w:szCs w:val="28"/>
              </w:rPr>
              <w:t>Mendillo</w:t>
            </w:r>
            <w:proofErr w:type="spellEnd"/>
          </w:p>
        </w:tc>
        <w:tc>
          <w:tcPr>
            <w:tcW w:w="1705" w:type="dxa"/>
            <w:tcBorders>
              <w:top w:val="double" w:sz="4" w:space="0" w:color="000000"/>
            </w:tcBorders>
            <w:vAlign w:val="center"/>
          </w:tcPr>
          <w:p w:rsidR="00412ACF" w:rsidRPr="00616D9C" w:rsidRDefault="00412ACF" w:rsidP="00026629">
            <w:pPr>
              <w:spacing w:line="480" w:lineRule="exact"/>
              <w:jc w:val="center"/>
              <w:rPr>
                <w:sz w:val="26"/>
                <w:szCs w:val="26"/>
              </w:rPr>
            </w:pPr>
            <w:r w:rsidRPr="00616D9C">
              <w:rPr>
                <w:rFonts w:eastAsia="新細明體" w:cs="Times New Roman"/>
                <w:color w:val="000000"/>
                <w:kern w:val="0"/>
                <w:sz w:val="26"/>
                <w:szCs w:val="26"/>
              </w:rPr>
              <w:t>總裁兼</w:t>
            </w:r>
            <w:r w:rsidRPr="00616D9C">
              <w:rPr>
                <w:rFonts w:eastAsia="新細明體" w:cs="Times New Roman"/>
                <w:color w:val="000000"/>
                <w:kern w:val="0"/>
                <w:sz w:val="26"/>
                <w:szCs w:val="26"/>
              </w:rPr>
              <w:t xml:space="preserve"> CEO</w:t>
            </w:r>
          </w:p>
        </w:tc>
        <w:tc>
          <w:tcPr>
            <w:tcW w:w="1842" w:type="dxa"/>
            <w:tcBorders>
              <w:top w:val="double" w:sz="4" w:space="0" w:color="000000"/>
            </w:tcBorders>
            <w:vAlign w:val="center"/>
          </w:tcPr>
          <w:p w:rsidR="00412ACF" w:rsidRPr="00616D9C" w:rsidRDefault="00412ACF" w:rsidP="00026629">
            <w:pPr>
              <w:spacing w:line="480" w:lineRule="exact"/>
              <w:jc w:val="center"/>
              <w:rPr>
                <w:sz w:val="28"/>
                <w:szCs w:val="28"/>
              </w:rPr>
            </w:pPr>
            <w:r w:rsidRPr="00616D9C">
              <w:rPr>
                <w:rFonts w:eastAsia="新細明體" w:cs="Times New Roman"/>
                <w:color w:val="000000"/>
                <w:kern w:val="0"/>
                <w:sz w:val="28"/>
                <w:szCs w:val="28"/>
              </w:rPr>
              <w:t>530</w:t>
            </w:r>
          </w:p>
        </w:tc>
        <w:tc>
          <w:tcPr>
            <w:tcW w:w="1843" w:type="dxa"/>
            <w:tcBorders>
              <w:top w:val="double" w:sz="4" w:space="0" w:color="000000"/>
            </w:tcBorders>
            <w:vAlign w:val="center"/>
          </w:tcPr>
          <w:p w:rsidR="00412ACF" w:rsidRPr="00616D9C" w:rsidRDefault="00412ACF" w:rsidP="00026629">
            <w:pPr>
              <w:spacing w:line="480" w:lineRule="exact"/>
              <w:jc w:val="center"/>
              <w:rPr>
                <w:sz w:val="28"/>
                <w:szCs w:val="28"/>
              </w:rPr>
            </w:pPr>
            <w:r w:rsidRPr="00616D9C">
              <w:rPr>
                <w:rFonts w:eastAsia="新細明體" w:cs="Times New Roman"/>
                <w:color w:val="000000"/>
                <w:kern w:val="0"/>
                <w:sz w:val="28"/>
                <w:szCs w:val="28"/>
              </w:rPr>
              <w:t>480</w:t>
            </w:r>
          </w:p>
        </w:tc>
        <w:tc>
          <w:tcPr>
            <w:tcW w:w="2123" w:type="dxa"/>
            <w:tcBorders>
              <w:top w:val="double" w:sz="4" w:space="0" w:color="000000"/>
              <w:right w:val="single" w:sz="18" w:space="0" w:color="000000"/>
            </w:tcBorders>
            <w:vAlign w:val="center"/>
          </w:tcPr>
          <w:p w:rsidR="00412ACF" w:rsidRPr="00616D9C" w:rsidRDefault="00412ACF" w:rsidP="00026629">
            <w:pPr>
              <w:spacing w:line="480" w:lineRule="exact"/>
              <w:jc w:val="center"/>
              <w:rPr>
                <w:sz w:val="28"/>
                <w:szCs w:val="28"/>
              </w:rPr>
            </w:pPr>
            <w:r w:rsidRPr="00616D9C">
              <w:rPr>
                <w:rFonts w:eastAsia="新細明體" w:cs="Times New Roman"/>
                <w:color w:val="000000"/>
                <w:kern w:val="0"/>
                <w:sz w:val="28"/>
                <w:szCs w:val="28"/>
              </w:rPr>
              <w:t>960</w:t>
            </w:r>
          </w:p>
        </w:tc>
      </w:tr>
      <w:tr w:rsidR="00412ACF" w:rsidRPr="00616D9C" w:rsidTr="00026629">
        <w:trPr>
          <w:jc w:val="center"/>
        </w:trPr>
        <w:tc>
          <w:tcPr>
            <w:tcW w:w="1980" w:type="dxa"/>
            <w:tcBorders>
              <w:left w:val="single" w:sz="18" w:space="0" w:color="000000"/>
            </w:tcBorders>
            <w:vAlign w:val="center"/>
          </w:tcPr>
          <w:p w:rsidR="00412ACF" w:rsidRPr="00616D9C" w:rsidRDefault="00412ACF" w:rsidP="00026629">
            <w:pPr>
              <w:spacing w:line="480" w:lineRule="exact"/>
              <w:rPr>
                <w:sz w:val="28"/>
                <w:szCs w:val="28"/>
              </w:rPr>
            </w:pPr>
            <w:r w:rsidRPr="00616D9C">
              <w:rPr>
                <w:rFonts w:eastAsia="新細明體" w:cs="Times New Roman"/>
                <w:color w:val="000000"/>
                <w:kern w:val="0"/>
                <w:sz w:val="28"/>
                <w:szCs w:val="28"/>
              </w:rPr>
              <w:t>Stephen Blyth</w:t>
            </w:r>
          </w:p>
        </w:tc>
        <w:tc>
          <w:tcPr>
            <w:tcW w:w="1705" w:type="dxa"/>
            <w:vAlign w:val="center"/>
          </w:tcPr>
          <w:p w:rsidR="00412ACF" w:rsidRPr="00616D9C" w:rsidRDefault="00412ACF" w:rsidP="00026629">
            <w:pPr>
              <w:spacing w:line="480" w:lineRule="exact"/>
              <w:jc w:val="center"/>
              <w:rPr>
                <w:rFonts w:eastAsia="新細明體" w:cs="Times New Roman"/>
                <w:color w:val="000000"/>
                <w:kern w:val="0"/>
                <w:sz w:val="26"/>
                <w:szCs w:val="26"/>
              </w:rPr>
            </w:pPr>
            <w:r w:rsidRPr="00616D9C">
              <w:rPr>
                <w:rFonts w:eastAsia="新細明體" w:cs="Times New Roman"/>
                <w:color w:val="000000"/>
                <w:kern w:val="0"/>
                <w:sz w:val="26"/>
                <w:szCs w:val="26"/>
              </w:rPr>
              <w:t>公開市場部</w:t>
            </w:r>
          </w:p>
          <w:p w:rsidR="00412ACF" w:rsidRPr="00616D9C" w:rsidRDefault="00412ACF" w:rsidP="00026629">
            <w:pPr>
              <w:spacing w:line="480" w:lineRule="exact"/>
              <w:jc w:val="center"/>
              <w:rPr>
                <w:sz w:val="26"/>
                <w:szCs w:val="26"/>
              </w:rPr>
            </w:pPr>
            <w:r w:rsidRPr="00616D9C">
              <w:rPr>
                <w:rFonts w:eastAsia="新細明體" w:cs="Times New Roman"/>
                <w:color w:val="000000"/>
                <w:kern w:val="0"/>
                <w:sz w:val="26"/>
                <w:szCs w:val="26"/>
              </w:rPr>
              <w:t>負責人</w:t>
            </w:r>
          </w:p>
        </w:tc>
        <w:tc>
          <w:tcPr>
            <w:tcW w:w="1842" w:type="dxa"/>
            <w:vAlign w:val="center"/>
          </w:tcPr>
          <w:p w:rsidR="00412ACF" w:rsidRPr="00616D9C" w:rsidRDefault="00412ACF" w:rsidP="00026629">
            <w:pPr>
              <w:spacing w:line="480" w:lineRule="exact"/>
              <w:jc w:val="center"/>
              <w:rPr>
                <w:sz w:val="28"/>
                <w:szCs w:val="28"/>
              </w:rPr>
            </w:pPr>
            <w:r w:rsidRPr="00616D9C">
              <w:rPr>
                <w:rFonts w:eastAsia="新細明體" w:cs="Times New Roman"/>
                <w:color w:val="000000"/>
                <w:kern w:val="0"/>
                <w:sz w:val="28"/>
                <w:szCs w:val="28"/>
              </w:rPr>
              <w:t>620</w:t>
            </w:r>
          </w:p>
        </w:tc>
        <w:tc>
          <w:tcPr>
            <w:tcW w:w="1843" w:type="dxa"/>
            <w:vAlign w:val="center"/>
          </w:tcPr>
          <w:p w:rsidR="00412ACF" w:rsidRPr="00616D9C" w:rsidRDefault="00412ACF" w:rsidP="00026629">
            <w:pPr>
              <w:spacing w:line="480" w:lineRule="exact"/>
              <w:jc w:val="center"/>
              <w:rPr>
                <w:sz w:val="28"/>
                <w:szCs w:val="28"/>
              </w:rPr>
            </w:pPr>
            <w:r w:rsidRPr="00616D9C">
              <w:rPr>
                <w:rFonts w:eastAsia="新細明體" w:cs="Times New Roman"/>
                <w:color w:val="000000"/>
                <w:kern w:val="0"/>
                <w:sz w:val="28"/>
                <w:szCs w:val="28"/>
              </w:rPr>
              <w:t>530</w:t>
            </w:r>
          </w:p>
        </w:tc>
        <w:tc>
          <w:tcPr>
            <w:tcW w:w="2123" w:type="dxa"/>
            <w:tcBorders>
              <w:right w:val="single" w:sz="18" w:space="0" w:color="000000"/>
            </w:tcBorders>
            <w:vAlign w:val="center"/>
          </w:tcPr>
          <w:p w:rsidR="00412ACF" w:rsidRPr="00616D9C" w:rsidRDefault="00412ACF" w:rsidP="00026629">
            <w:pPr>
              <w:spacing w:line="480" w:lineRule="exact"/>
              <w:jc w:val="center"/>
              <w:rPr>
                <w:sz w:val="28"/>
                <w:szCs w:val="28"/>
              </w:rPr>
            </w:pPr>
            <w:r w:rsidRPr="00616D9C">
              <w:rPr>
                <w:rFonts w:eastAsia="新細明體" w:cs="Times New Roman"/>
                <w:color w:val="000000"/>
                <w:kern w:val="0"/>
                <w:sz w:val="28"/>
                <w:szCs w:val="28"/>
              </w:rPr>
              <w:t>1150</w:t>
            </w:r>
          </w:p>
        </w:tc>
      </w:tr>
      <w:tr w:rsidR="00412ACF" w:rsidRPr="00616D9C" w:rsidTr="00026629">
        <w:trPr>
          <w:jc w:val="center"/>
        </w:trPr>
        <w:tc>
          <w:tcPr>
            <w:tcW w:w="1980" w:type="dxa"/>
            <w:tcBorders>
              <w:left w:val="single" w:sz="18" w:space="0" w:color="000000"/>
            </w:tcBorders>
            <w:vAlign w:val="center"/>
          </w:tcPr>
          <w:p w:rsidR="00412ACF" w:rsidRPr="00616D9C" w:rsidRDefault="00412ACF" w:rsidP="00026629">
            <w:pPr>
              <w:spacing w:line="480" w:lineRule="exact"/>
              <w:rPr>
                <w:sz w:val="28"/>
                <w:szCs w:val="28"/>
              </w:rPr>
            </w:pPr>
            <w:r w:rsidRPr="00616D9C">
              <w:rPr>
                <w:rFonts w:eastAsia="新細明體" w:cs="Times New Roman"/>
                <w:color w:val="000000"/>
                <w:kern w:val="0"/>
                <w:sz w:val="28"/>
                <w:szCs w:val="28"/>
              </w:rPr>
              <w:t>Alvaro Aguirre-</w:t>
            </w:r>
            <w:proofErr w:type="spellStart"/>
            <w:r w:rsidRPr="00616D9C">
              <w:rPr>
                <w:rFonts w:eastAsia="新細明體" w:cs="Times New Roman"/>
                <w:color w:val="000000"/>
                <w:kern w:val="0"/>
                <w:sz w:val="28"/>
                <w:szCs w:val="28"/>
              </w:rPr>
              <w:t>Simunovic</w:t>
            </w:r>
            <w:proofErr w:type="spellEnd"/>
          </w:p>
        </w:tc>
        <w:tc>
          <w:tcPr>
            <w:tcW w:w="1705" w:type="dxa"/>
            <w:vAlign w:val="center"/>
          </w:tcPr>
          <w:p w:rsidR="00412ACF" w:rsidRPr="00616D9C" w:rsidRDefault="00412ACF" w:rsidP="00026629">
            <w:pPr>
              <w:spacing w:line="480" w:lineRule="exact"/>
              <w:jc w:val="center"/>
              <w:rPr>
                <w:sz w:val="26"/>
                <w:szCs w:val="26"/>
              </w:rPr>
            </w:pPr>
            <w:r w:rsidRPr="00616D9C">
              <w:rPr>
                <w:rFonts w:eastAsia="新細明體" w:cs="Times New Roman"/>
                <w:color w:val="000000"/>
                <w:kern w:val="0"/>
                <w:sz w:val="26"/>
                <w:szCs w:val="26"/>
              </w:rPr>
              <w:t>自然資源投資組合經理</w:t>
            </w:r>
          </w:p>
        </w:tc>
        <w:tc>
          <w:tcPr>
            <w:tcW w:w="1842" w:type="dxa"/>
            <w:vAlign w:val="center"/>
          </w:tcPr>
          <w:p w:rsidR="00412ACF" w:rsidRPr="00616D9C" w:rsidRDefault="00412ACF" w:rsidP="00026629">
            <w:pPr>
              <w:spacing w:line="480" w:lineRule="exact"/>
              <w:jc w:val="center"/>
              <w:rPr>
                <w:sz w:val="28"/>
                <w:szCs w:val="28"/>
              </w:rPr>
            </w:pPr>
            <w:r w:rsidRPr="00616D9C">
              <w:rPr>
                <w:rFonts w:eastAsia="新細明體" w:cs="Times New Roman"/>
                <w:color w:val="000000"/>
                <w:kern w:val="0"/>
                <w:sz w:val="28"/>
                <w:szCs w:val="28"/>
              </w:rPr>
              <w:t>530</w:t>
            </w:r>
          </w:p>
        </w:tc>
        <w:tc>
          <w:tcPr>
            <w:tcW w:w="1843" w:type="dxa"/>
            <w:vAlign w:val="center"/>
          </w:tcPr>
          <w:p w:rsidR="00412ACF" w:rsidRPr="00616D9C" w:rsidRDefault="00412ACF" w:rsidP="00026629">
            <w:pPr>
              <w:spacing w:line="480" w:lineRule="exact"/>
              <w:jc w:val="center"/>
              <w:rPr>
                <w:sz w:val="28"/>
                <w:szCs w:val="28"/>
              </w:rPr>
            </w:pPr>
            <w:r w:rsidRPr="00616D9C">
              <w:rPr>
                <w:rFonts w:eastAsia="新細明體" w:cs="Times New Roman"/>
                <w:color w:val="000000"/>
                <w:kern w:val="0"/>
                <w:sz w:val="28"/>
                <w:szCs w:val="28"/>
              </w:rPr>
              <w:t>660</w:t>
            </w:r>
          </w:p>
        </w:tc>
        <w:tc>
          <w:tcPr>
            <w:tcW w:w="2123" w:type="dxa"/>
            <w:tcBorders>
              <w:right w:val="single" w:sz="18" w:space="0" w:color="000000"/>
            </w:tcBorders>
            <w:vAlign w:val="center"/>
          </w:tcPr>
          <w:p w:rsidR="00412ACF" w:rsidRPr="00616D9C" w:rsidRDefault="00412ACF" w:rsidP="00026629">
            <w:pPr>
              <w:spacing w:line="480" w:lineRule="exact"/>
              <w:jc w:val="center"/>
              <w:rPr>
                <w:sz w:val="28"/>
                <w:szCs w:val="28"/>
              </w:rPr>
            </w:pPr>
            <w:r w:rsidRPr="00616D9C">
              <w:rPr>
                <w:sz w:val="28"/>
                <w:szCs w:val="28"/>
              </w:rPr>
              <w:t>960</w:t>
            </w:r>
          </w:p>
        </w:tc>
      </w:tr>
      <w:tr w:rsidR="00412ACF" w:rsidRPr="00616D9C" w:rsidTr="00026629">
        <w:trPr>
          <w:jc w:val="center"/>
        </w:trPr>
        <w:tc>
          <w:tcPr>
            <w:tcW w:w="1980" w:type="dxa"/>
            <w:tcBorders>
              <w:left w:val="single" w:sz="18" w:space="0" w:color="000000"/>
            </w:tcBorders>
            <w:vAlign w:val="center"/>
          </w:tcPr>
          <w:p w:rsidR="00412ACF" w:rsidRPr="00616D9C" w:rsidRDefault="00412ACF" w:rsidP="00026629">
            <w:pPr>
              <w:spacing w:line="480" w:lineRule="exact"/>
              <w:rPr>
                <w:sz w:val="28"/>
                <w:szCs w:val="28"/>
              </w:rPr>
            </w:pPr>
            <w:r w:rsidRPr="00616D9C">
              <w:rPr>
                <w:rFonts w:eastAsia="新細明體" w:cs="Times New Roman"/>
                <w:color w:val="000000"/>
                <w:kern w:val="0"/>
                <w:sz w:val="28"/>
                <w:szCs w:val="28"/>
              </w:rPr>
              <w:t>Andrew G. Wiltshire</w:t>
            </w:r>
          </w:p>
        </w:tc>
        <w:tc>
          <w:tcPr>
            <w:tcW w:w="1705" w:type="dxa"/>
            <w:vAlign w:val="center"/>
          </w:tcPr>
          <w:p w:rsidR="00412ACF" w:rsidRPr="00616D9C" w:rsidRDefault="00412ACF" w:rsidP="00026629">
            <w:pPr>
              <w:spacing w:line="480" w:lineRule="exact"/>
              <w:jc w:val="center"/>
              <w:rPr>
                <w:rFonts w:eastAsia="新細明體" w:cs="Times New Roman"/>
                <w:color w:val="000000"/>
                <w:kern w:val="0"/>
                <w:sz w:val="26"/>
                <w:szCs w:val="26"/>
              </w:rPr>
            </w:pPr>
            <w:r w:rsidRPr="00616D9C">
              <w:rPr>
                <w:rFonts w:eastAsia="新細明體" w:cs="Times New Roman"/>
                <w:color w:val="000000"/>
                <w:kern w:val="0"/>
                <w:sz w:val="26"/>
                <w:szCs w:val="26"/>
              </w:rPr>
              <w:t>另類資產部</w:t>
            </w:r>
          </w:p>
          <w:p w:rsidR="00412ACF" w:rsidRPr="00616D9C" w:rsidRDefault="00412ACF" w:rsidP="00026629">
            <w:pPr>
              <w:spacing w:line="480" w:lineRule="exact"/>
              <w:jc w:val="center"/>
              <w:rPr>
                <w:sz w:val="26"/>
                <w:szCs w:val="26"/>
              </w:rPr>
            </w:pPr>
            <w:r w:rsidRPr="00616D9C">
              <w:rPr>
                <w:rFonts w:eastAsia="新細明體" w:cs="Times New Roman"/>
                <w:color w:val="000000"/>
                <w:kern w:val="0"/>
                <w:sz w:val="26"/>
                <w:szCs w:val="26"/>
              </w:rPr>
              <w:t>主管</w:t>
            </w:r>
          </w:p>
        </w:tc>
        <w:tc>
          <w:tcPr>
            <w:tcW w:w="1842" w:type="dxa"/>
            <w:vAlign w:val="center"/>
          </w:tcPr>
          <w:p w:rsidR="00412ACF" w:rsidRPr="00616D9C" w:rsidRDefault="00412ACF" w:rsidP="00026629">
            <w:pPr>
              <w:spacing w:line="480" w:lineRule="exact"/>
              <w:jc w:val="center"/>
              <w:rPr>
                <w:sz w:val="28"/>
                <w:szCs w:val="28"/>
              </w:rPr>
            </w:pPr>
            <w:r w:rsidRPr="00616D9C">
              <w:rPr>
                <w:sz w:val="28"/>
                <w:szCs w:val="28"/>
              </w:rPr>
              <w:t>660</w:t>
            </w:r>
          </w:p>
        </w:tc>
        <w:tc>
          <w:tcPr>
            <w:tcW w:w="1843" w:type="dxa"/>
            <w:vAlign w:val="center"/>
          </w:tcPr>
          <w:p w:rsidR="00412ACF" w:rsidRPr="00616D9C" w:rsidRDefault="00412ACF" w:rsidP="00026629">
            <w:pPr>
              <w:spacing w:line="480" w:lineRule="exact"/>
              <w:jc w:val="center"/>
              <w:rPr>
                <w:sz w:val="28"/>
                <w:szCs w:val="28"/>
              </w:rPr>
            </w:pPr>
            <w:r w:rsidRPr="00616D9C">
              <w:rPr>
                <w:sz w:val="28"/>
                <w:szCs w:val="28"/>
              </w:rPr>
              <w:t>790</w:t>
            </w:r>
          </w:p>
        </w:tc>
        <w:tc>
          <w:tcPr>
            <w:tcW w:w="2123" w:type="dxa"/>
            <w:tcBorders>
              <w:right w:val="single" w:sz="18" w:space="0" w:color="000000"/>
            </w:tcBorders>
            <w:vAlign w:val="center"/>
          </w:tcPr>
          <w:p w:rsidR="00412ACF" w:rsidRPr="00616D9C" w:rsidRDefault="00412ACF" w:rsidP="00026629">
            <w:pPr>
              <w:spacing w:line="480" w:lineRule="exact"/>
              <w:jc w:val="center"/>
              <w:rPr>
                <w:sz w:val="28"/>
                <w:szCs w:val="28"/>
              </w:rPr>
            </w:pPr>
            <w:r w:rsidRPr="00616D9C">
              <w:rPr>
                <w:sz w:val="28"/>
                <w:szCs w:val="28"/>
              </w:rPr>
              <w:t>850</w:t>
            </w:r>
          </w:p>
        </w:tc>
      </w:tr>
      <w:tr w:rsidR="00412ACF" w:rsidRPr="00616D9C" w:rsidTr="00026629">
        <w:trPr>
          <w:jc w:val="center"/>
        </w:trPr>
        <w:tc>
          <w:tcPr>
            <w:tcW w:w="1980" w:type="dxa"/>
            <w:tcBorders>
              <w:left w:val="single" w:sz="18" w:space="0" w:color="000000"/>
            </w:tcBorders>
            <w:vAlign w:val="center"/>
          </w:tcPr>
          <w:p w:rsidR="00412ACF" w:rsidRPr="00616D9C" w:rsidRDefault="00412ACF" w:rsidP="00026629">
            <w:pPr>
              <w:spacing w:line="480" w:lineRule="exact"/>
              <w:rPr>
                <w:sz w:val="28"/>
                <w:szCs w:val="28"/>
              </w:rPr>
            </w:pPr>
            <w:r w:rsidRPr="00616D9C">
              <w:rPr>
                <w:rFonts w:eastAsia="新細明體" w:cs="Times New Roman"/>
                <w:color w:val="000000"/>
                <w:kern w:val="0"/>
                <w:sz w:val="28"/>
                <w:szCs w:val="28"/>
              </w:rPr>
              <w:t>Daniel Cummings</w:t>
            </w:r>
          </w:p>
        </w:tc>
        <w:tc>
          <w:tcPr>
            <w:tcW w:w="1705" w:type="dxa"/>
            <w:vAlign w:val="center"/>
          </w:tcPr>
          <w:p w:rsidR="00412ACF" w:rsidRPr="00616D9C" w:rsidRDefault="00412ACF" w:rsidP="00026629">
            <w:pPr>
              <w:spacing w:line="480" w:lineRule="exact"/>
              <w:jc w:val="center"/>
              <w:rPr>
                <w:rFonts w:eastAsia="新細明體" w:cs="Times New Roman"/>
                <w:color w:val="000000"/>
                <w:kern w:val="0"/>
                <w:sz w:val="26"/>
                <w:szCs w:val="26"/>
              </w:rPr>
            </w:pPr>
            <w:r w:rsidRPr="00616D9C">
              <w:rPr>
                <w:rFonts w:eastAsia="新細明體" w:cs="Times New Roman"/>
                <w:color w:val="000000"/>
                <w:kern w:val="0"/>
                <w:sz w:val="26"/>
                <w:szCs w:val="26"/>
              </w:rPr>
              <w:t>房地產投資</w:t>
            </w:r>
          </w:p>
          <w:p w:rsidR="00412ACF" w:rsidRPr="00616D9C" w:rsidRDefault="00412ACF" w:rsidP="00026629">
            <w:pPr>
              <w:spacing w:line="480" w:lineRule="exact"/>
              <w:jc w:val="center"/>
              <w:rPr>
                <w:sz w:val="26"/>
                <w:szCs w:val="26"/>
              </w:rPr>
            </w:pPr>
            <w:r w:rsidRPr="00616D9C">
              <w:rPr>
                <w:rFonts w:eastAsia="新細明體" w:cs="Times New Roman"/>
                <w:color w:val="000000"/>
                <w:kern w:val="0"/>
                <w:sz w:val="26"/>
                <w:szCs w:val="26"/>
              </w:rPr>
              <w:t>組合經理</w:t>
            </w:r>
          </w:p>
        </w:tc>
        <w:tc>
          <w:tcPr>
            <w:tcW w:w="1842" w:type="dxa"/>
            <w:vAlign w:val="center"/>
          </w:tcPr>
          <w:p w:rsidR="00412ACF" w:rsidRPr="00616D9C" w:rsidRDefault="00412ACF" w:rsidP="00026629">
            <w:pPr>
              <w:spacing w:line="480" w:lineRule="exact"/>
              <w:jc w:val="center"/>
              <w:rPr>
                <w:sz w:val="28"/>
                <w:szCs w:val="28"/>
              </w:rPr>
            </w:pPr>
          </w:p>
        </w:tc>
        <w:tc>
          <w:tcPr>
            <w:tcW w:w="1843" w:type="dxa"/>
            <w:vAlign w:val="center"/>
          </w:tcPr>
          <w:p w:rsidR="00412ACF" w:rsidRPr="00616D9C" w:rsidRDefault="00412ACF" w:rsidP="00026629">
            <w:pPr>
              <w:spacing w:line="480" w:lineRule="exact"/>
              <w:jc w:val="center"/>
              <w:rPr>
                <w:sz w:val="28"/>
                <w:szCs w:val="28"/>
              </w:rPr>
            </w:pPr>
            <w:r w:rsidRPr="00616D9C">
              <w:rPr>
                <w:sz w:val="28"/>
                <w:szCs w:val="28"/>
              </w:rPr>
              <w:t>420</w:t>
            </w:r>
          </w:p>
        </w:tc>
        <w:tc>
          <w:tcPr>
            <w:tcW w:w="2123" w:type="dxa"/>
            <w:tcBorders>
              <w:right w:val="single" w:sz="18" w:space="0" w:color="000000"/>
            </w:tcBorders>
            <w:vAlign w:val="center"/>
          </w:tcPr>
          <w:p w:rsidR="00412ACF" w:rsidRPr="00616D9C" w:rsidRDefault="00412ACF" w:rsidP="00026629">
            <w:pPr>
              <w:spacing w:line="480" w:lineRule="exact"/>
              <w:jc w:val="center"/>
              <w:rPr>
                <w:sz w:val="28"/>
                <w:szCs w:val="28"/>
              </w:rPr>
            </w:pPr>
            <w:r w:rsidRPr="00616D9C">
              <w:rPr>
                <w:sz w:val="28"/>
                <w:szCs w:val="28"/>
              </w:rPr>
              <w:t>540</w:t>
            </w:r>
          </w:p>
        </w:tc>
      </w:tr>
      <w:tr w:rsidR="00412ACF" w:rsidRPr="00616D9C" w:rsidTr="00026629">
        <w:trPr>
          <w:jc w:val="center"/>
        </w:trPr>
        <w:tc>
          <w:tcPr>
            <w:tcW w:w="1980" w:type="dxa"/>
            <w:tcBorders>
              <w:left w:val="single" w:sz="18" w:space="0" w:color="000000"/>
              <w:bottom w:val="single" w:sz="18" w:space="0" w:color="000000"/>
            </w:tcBorders>
            <w:vAlign w:val="center"/>
          </w:tcPr>
          <w:p w:rsidR="00412ACF" w:rsidRPr="00616D9C" w:rsidRDefault="00412ACF" w:rsidP="00026629">
            <w:pPr>
              <w:spacing w:line="480" w:lineRule="exact"/>
              <w:rPr>
                <w:sz w:val="28"/>
                <w:szCs w:val="28"/>
              </w:rPr>
            </w:pPr>
            <w:r w:rsidRPr="00616D9C">
              <w:rPr>
                <w:rFonts w:eastAsia="新細明體" w:cs="Times New Roman"/>
                <w:color w:val="000000"/>
                <w:kern w:val="0"/>
                <w:sz w:val="28"/>
                <w:szCs w:val="28"/>
              </w:rPr>
              <w:t xml:space="preserve">Marco </w:t>
            </w:r>
            <w:proofErr w:type="spellStart"/>
            <w:r w:rsidRPr="00616D9C">
              <w:rPr>
                <w:rFonts w:eastAsia="新細明體" w:cs="Times New Roman"/>
                <w:color w:val="000000"/>
                <w:kern w:val="0"/>
                <w:sz w:val="28"/>
                <w:szCs w:val="28"/>
              </w:rPr>
              <w:t>Barrozo</w:t>
            </w:r>
            <w:proofErr w:type="spellEnd"/>
          </w:p>
        </w:tc>
        <w:tc>
          <w:tcPr>
            <w:tcW w:w="1705" w:type="dxa"/>
            <w:tcBorders>
              <w:bottom w:val="single" w:sz="18" w:space="0" w:color="000000"/>
            </w:tcBorders>
            <w:vAlign w:val="center"/>
          </w:tcPr>
          <w:p w:rsidR="00412ACF" w:rsidRPr="00616D9C" w:rsidRDefault="00412ACF" w:rsidP="00026629">
            <w:pPr>
              <w:spacing w:line="480" w:lineRule="exact"/>
              <w:jc w:val="center"/>
              <w:rPr>
                <w:sz w:val="26"/>
                <w:szCs w:val="26"/>
              </w:rPr>
            </w:pPr>
            <w:r w:rsidRPr="00616D9C">
              <w:rPr>
                <w:sz w:val="26"/>
                <w:szCs w:val="26"/>
              </w:rPr>
              <w:t>固定收益投資組合經理</w:t>
            </w:r>
          </w:p>
        </w:tc>
        <w:tc>
          <w:tcPr>
            <w:tcW w:w="1842" w:type="dxa"/>
            <w:tcBorders>
              <w:bottom w:val="single" w:sz="18" w:space="0" w:color="000000"/>
            </w:tcBorders>
            <w:vAlign w:val="center"/>
          </w:tcPr>
          <w:p w:rsidR="00412ACF" w:rsidRPr="00616D9C" w:rsidRDefault="00412ACF" w:rsidP="00026629">
            <w:pPr>
              <w:spacing w:line="480" w:lineRule="exact"/>
              <w:jc w:val="center"/>
              <w:rPr>
                <w:sz w:val="28"/>
                <w:szCs w:val="28"/>
              </w:rPr>
            </w:pPr>
          </w:p>
        </w:tc>
        <w:tc>
          <w:tcPr>
            <w:tcW w:w="1843" w:type="dxa"/>
            <w:tcBorders>
              <w:bottom w:val="single" w:sz="18" w:space="0" w:color="000000"/>
            </w:tcBorders>
            <w:vAlign w:val="center"/>
          </w:tcPr>
          <w:p w:rsidR="00412ACF" w:rsidRPr="00616D9C" w:rsidRDefault="00412ACF" w:rsidP="00026629">
            <w:pPr>
              <w:spacing w:line="480" w:lineRule="exact"/>
              <w:jc w:val="center"/>
              <w:rPr>
                <w:sz w:val="28"/>
                <w:szCs w:val="28"/>
              </w:rPr>
            </w:pPr>
          </w:p>
        </w:tc>
        <w:tc>
          <w:tcPr>
            <w:tcW w:w="2123" w:type="dxa"/>
            <w:tcBorders>
              <w:bottom w:val="single" w:sz="18" w:space="0" w:color="000000"/>
              <w:right w:val="single" w:sz="18" w:space="0" w:color="000000"/>
            </w:tcBorders>
            <w:vAlign w:val="center"/>
          </w:tcPr>
          <w:p w:rsidR="00412ACF" w:rsidRPr="00616D9C" w:rsidRDefault="00412ACF" w:rsidP="00026629">
            <w:pPr>
              <w:spacing w:line="480" w:lineRule="exact"/>
              <w:jc w:val="center"/>
              <w:rPr>
                <w:sz w:val="28"/>
                <w:szCs w:val="28"/>
              </w:rPr>
            </w:pPr>
            <w:r w:rsidRPr="00616D9C">
              <w:rPr>
                <w:sz w:val="28"/>
                <w:szCs w:val="28"/>
              </w:rPr>
              <w:t>480</w:t>
            </w:r>
          </w:p>
        </w:tc>
      </w:tr>
    </w:tbl>
    <w:p w:rsidR="00412ACF" w:rsidRPr="00616D9C" w:rsidRDefault="00412ACF" w:rsidP="00412ACF">
      <w:pPr>
        <w:spacing w:line="480" w:lineRule="exact"/>
        <w:rPr>
          <w:sz w:val="28"/>
          <w:szCs w:val="28"/>
        </w:rPr>
      </w:pPr>
      <w:r w:rsidRPr="00616D9C">
        <w:rPr>
          <w:sz w:val="28"/>
          <w:szCs w:val="28"/>
        </w:rPr>
        <w:t>資料來源</w:t>
      </w:r>
      <w:r w:rsidRPr="00616D9C">
        <w:rPr>
          <w:sz w:val="28"/>
          <w:szCs w:val="28"/>
        </w:rPr>
        <w:t>:</w:t>
      </w:r>
    </w:p>
    <w:p w:rsidR="00412ACF" w:rsidRPr="00616D9C" w:rsidRDefault="00412ACF" w:rsidP="00412ACF">
      <w:pPr>
        <w:spacing w:line="480" w:lineRule="exact"/>
        <w:rPr>
          <w:rFonts w:eastAsia="新細明體" w:cs="Times New Roman"/>
          <w:color w:val="000000" w:themeColor="text1"/>
          <w:kern w:val="0"/>
          <w:sz w:val="28"/>
          <w:szCs w:val="28"/>
        </w:rPr>
      </w:pPr>
      <w:proofErr w:type="gramStart"/>
      <w:r w:rsidRPr="00616D9C">
        <w:rPr>
          <w:rFonts w:ascii="微軟正黑體" w:eastAsia="微軟正黑體" w:hAnsi="微軟正黑體" w:cs="微軟正黑體" w:hint="eastAsia"/>
          <w:color w:val="000000" w:themeColor="text1"/>
          <w:kern w:val="0"/>
          <w:sz w:val="28"/>
          <w:szCs w:val="28"/>
        </w:rPr>
        <w:t>‧</w:t>
      </w:r>
      <w:proofErr w:type="gramEnd"/>
      <w:r>
        <w:fldChar w:fldCharType="begin"/>
      </w:r>
      <w:r>
        <w:instrText xml:space="preserve"> HYPERLINK "http://harvardmagazine.com/2015/05/harvard-pays-endowment-manager-11-million" </w:instrText>
      </w:r>
      <w:r>
        <w:fldChar w:fldCharType="separate"/>
      </w:r>
      <w:r w:rsidRPr="00616D9C">
        <w:rPr>
          <w:rStyle w:val="af2"/>
          <w:rFonts w:eastAsia="新細明體" w:cs="Times New Roman"/>
          <w:color w:val="000000" w:themeColor="text1"/>
          <w:kern w:val="0"/>
          <w:sz w:val="28"/>
          <w:szCs w:val="28"/>
        </w:rPr>
        <w:t>2013</w:t>
      </w:r>
      <w:r w:rsidRPr="00616D9C">
        <w:rPr>
          <w:rStyle w:val="af2"/>
          <w:rFonts w:eastAsia="新細明體" w:cs="Times New Roman"/>
          <w:color w:val="000000" w:themeColor="text1"/>
          <w:kern w:val="0"/>
          <w:sz w:val="28"/>
          <w:szCs w:val="28"/>
        </w:rPr>
        <w:t>年</w:t>
      </w:r>
      <w:r w:rsidRPr="00616D9C">
        <w:rPr>
          <w:rStyle w:val="af2"/>
          <w:rFonts w:eastAsia="新細明體" w:cs="Times New Roman"/>
          <w:color w:val="000000" w:themeColor="text1"/>
          <w:kern w:val="0"/>
          <w:sz w:val="28"/>
          <w:szCs w:val="28"/>
        </w:rPr>
        <w:t xml:space="preserve"> </w:t>
      </w:r>
      <w:r w:rsidRPr="00616D9C">
        <w:rPr>
          <w:rStyle w:val="af2"/>
          <w:rFonts w:eastAsia="新細明體" w:cs="Times New Roman"/>
          <w:color w:val="000000" w:themeColor="text1"/>
          <w:kern w:val="0"/>
          <w:sz w:val="28"/>
          <w:szCs w:val="28"/>
        </w:rPr>
        <w:t>哈佛管理公司薪酬最高的管理階層</w:t>
      </w:r>
      <w:r>
        <w:rPr>
          <w:rStyle w:val="af2"/>
          <w:rFonts w:eastAsia="新細明體" w:cs="Times New Roman"/>
          <w:color w:val="000000" w:themeColor="text1"/>
          <w:kern w:val="0"/>
          <w:sz w:val="28"/>
          <w:szCs w:val="28"/>
          <w:u w:val="none"/>
        </w:rPr>
        <w:fldChar w:fldCharType="end"/>
      </w:r>
    </w:p>
    <w:p w:rsidR="00412ACF" w:rsidRPr="00616D9C" w:rsidRDefault="00412ACF" w:rsidP="00412ACF">
      <w:pPr>
        <w:widowControl/>
        <w:spacing w:line="480" w:lineRule="exact"/>
        <w:rPr>
          <w:rStyle w:val="af2"/>
          <w:color w:val="000000" w:themeColor="text1"/>
          <w:sz w:val="28"/>
          <w:szCs w:val="28"/>
        </w:rPr>
      </w:pPr>
      <w:proofErr w:type="gramStart"/>
      <w:r w:rsidRPr="00616D9C">
        <w:rPr>
          <w:rFonts w:ascii="微軟正黑體" w:eastAsia="微軟正黑體" w:hAnsi="微軟正黑體" w:cs="微軟正黑體" w:hint="eastAsia"/>
          <w:color w:val="000000" w:themeColor="text1"/>
          <w:sz w:val="28"/>
          <w:szCs w:val="28"/>
        </w:rPr>
        <w:t>‧</w:t>
      </w:r>
      <w:proofErr w:type="gramEnd"/>
      <w:r>
        <w:fldChar w:fldCharType="begin"/>
      </w:r>
      <w:r>
        <w:instrText xml:space="preserve"> HYPERLINK "http://www.harvard.edu/about-harvard/harvard-glance/endowment" </w:instrText>
      </w:r>
      <w:r>
        <w:fldChar w:fldCharType="separate"/>
      </w:r>
      <w:r w:rsidRPr="00616D9C">
        <w:rPr>
          <w:rStyle w:val="af2"/>
          <w:color w:val="000000" w:themeColor="text1"/>
          <w:sz w:val="28"/>
          <w:szCs w:val="28"/>
        </w:rPr>
        <w:t>http://www.harvard.edu/about-harvard/harvard-glance/endowment</w:t>
      </w:r>
      <w:r>
        <w:rPr>
          <w:rStyle w:val="af2"/>
          <w:color w:val="000000" w:themeColor="text1"/>
          <w:sz w:val="28"/>
          <w:szCs w:val="28"/>
          <w:u w:val="none"/>
        </w:rPr>
        <w:fldChar w:fldCharType="end"/>
      </w:r>
    </w:p>
    <w:p w:rsidR="00412ACF" w:rsidRPr="00616D9C" w:rsidRDefault="00412ACF" w:rsidP="00412ACF">
      <w:pPr>
        <w:pStyle w:val="1"/>
        <w:spacing w:before="0" w:beforeAutospacing="0" w:after="0" w:afterAutospacing="0" w:line="480" w:lineRule="exact"/>
        <w:rPr>
          <w:rFonts w:asciiTheme="minorHAnsi" w:hAnsiTheme="minorHAnsi" w:cs="Arial"/>
          <w:b w:val="0"/>
          <w:bCs w:val="0"/>
          <w:color w:val="615E5A"/>
          <w:sz w:val="28"/>
          <w:szCs w:val="28"/>
        </w:rPr>
      </w:pPr>
      <w:proofErr w:type="gramStart"/>
      <w:r w:rsidRPr="00616D9C">
        <w:rPr>
          <w:rStyle w:val="af2"/>
          <w:rFonts w:ascii="微軟正黑體" w:eastAsia="微軟正黑體" w:hAnsi="微軟正黑體" w:cs="微軟正黑體" w:hint="eastAsia"/>
          <w:b w:val="0"/>
          <w:color w:val="000000" w:themeColor="text1"/>
          <w:sz w:val="28"/>
          <w:szCs w:val="28"/>
        </w:rPr>
        <w:t>‧</w:t>
      </w:r>
      <w:proofErr w:type="gramEnd"/>
      <w:r>
        <w:fldChar w:fldCharType="begin"/>
      </w:r>
      <w:r>
        <w:instrText xml:space="preserve"> HYPERLINK "http://harvardmagazine.com/2014/05/harvard-endowment-managers-executives-compensation" </w:instrText>
      </w:r>
      <w:r>
        <w:fldChar w:fldCharType="separate"/>
      </w:r>
      <w:r w:rsidRPr="00616D9C">
        <w:rPr>
          <w:rStyle w:val="af2"/>
          <w:rFonts w:asciiTheme="minorHAnsi" w:hAnsiTheme="minorHAnsi" w:cs="Arial"/>
          <w:b w:val="0"/>
          <w:bCs w:val="0"/>
          <w:color w:val="000000" w:themeColor="text1"/>
          <w:sz w:val="28"/>
          <w:szCs w:val="28"/>
        </w:rPr>
        <w:t>Harvard Executives</w:t>
      </w:r>
      <w:proofErr w:type="gramStart"/>
      <w:r w:rsidRPr="00616D9C">
        <w:rPr>
          <w:rStyle w:val="af2"/>
          <w:rFonts w:asciiTheme="minorHAnsi" w:hAnsiTheme="minorHAnsi" w:cs="Arial"/>
          <w:b w:val="0"/>
          <w:bCs w:val="0"/>
          <w:color w:val="000000" w:themeColor="text1"/>
          <w:sz w:val="28"/>
          <w:szCs w:val="28"/>
        </w:rPr>
        <w:t>’</w:t>
      </w:r>
      <w:proofErr w:type="gramEnd"/>
      <w:r w:rsidRPr="00616D9C">
        <w:rPr>
          <w:rStyle w:val="af2"/>
          <w:rFonts w:asciiTheme="minorHAnsi" w:hAnsiTheme="minorHAnsi" w:cs="Arial"/>
          <w:b w:val="0"/>
          <w:bCs w:val="0"/>
          <w:color w:val="000000" w:themeColor="text1"/>
          <w:sz w:val="28"/>
          <w:szCs w:val="28"/>
        </w:rPr>
        <w:t xml:space="preserve"> Compensation Reported</w:t>
      </w:r>
      <w:r>
        <w:rPr>
          <w:rStyle w:val="af2"/>
          <w:rFonts w:asciiTheme="minorHAnsi" w:hAnsiTheme="minorHAnsi" w:cs="Arial"/>
          <w:b w:val="0"/>
          <w:bCs w:val="0"/>
          <w:color w:val="000000" w:themeColor="text1"/>
          <w:sz w:val="28"/>
          <w:szCs w:val="28"/>
          <w:u w:val="none"/>
        </w:rPr>
        <w:fldChar w:fldCharType="end"/>
      </w:r>
    </w:p>
    <w:p w:rsidR="00412ACF" w:rsidRPr="00616D9C" w:rsidRDefault="00412ACF" w:rsidP="00412ACF">
      <w:pPr>
        <w:widowControl/>
        <w:spacing w:line="480" w:lineRule="exact"/>
        <w:rPr>
          <w:noProof/>
          <w:sz w:val="28"/>
          <w:szCs w:val="28"/>
        </w:rPr>
      </w:pPr>
    </w:p>
    <w:p w:rsidR="00412ACF" w:rsidRPr="00616D9C" w:rsidRDefault="00412ACF" w:rsidP="00412ACF">
      <w:pPr>
        <w:widowControl/>
        <w:spacing w:line="480" w:lineRule="exact"/>
        <w:rPr>
          <w:sz w:val="28"/>
          <w:szCs w:val="28"/>
        </w:rPr>
      </w:pPr>
      <w:r w:rsidRPr="00616D9C">
        <w:rPr>
          <w:noProof/>
          <w:sz w:val="28"/>
          <w:szCs w:val="28"/>
        </w:rPr>
        <w:drawing>
          <wp:anchor distT="0" distB="0" distL="114300" distR="114300" simplePos="0" relativeHeight="251682816" behindDoc="0" locked="0" layoutInCell="1" allowOverlap="1" wp14:anchorId="30593017" wp14:editId="68969E5F">
            <wp:simplePos x="0" y="0"/>
            <wp:positionH relativeFrom="margin">
              <wp:align>right</wp:align>
            </wp:positionH>
            <wp:positionV relativeFrom="paragraph">
              <wp:posOffset>222885</wp:posOffset>
            </wp:positionV>
            <wp:extent cx="5724525" cy="2832100"/>
            <wp:effectExtent l="19050" t="19050" r="28575" b="25400"/>
            <wp:wrapNone/>
            <wp:docPr id="22" name="圖片 2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6171" t="28934" r="20287" b="18288"/>
                    <a:stretch/>
                  </pic:blipFill>
                  <pic:spPr bwMode="auto">
                    <a:xfrm>
                      <a:off x="0" y="0"/>
                      <a:ext cx="5724525" cy="2832100"/>
                    </a:xfrm>
                    <a:prstGeom prst="rect">
                      <a:avLst/>
                    </a:prstGeom>
                    <a:ln>
                      <a:solidFill>
                        <a:schemeClr val="accent3">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2ACF" w:rsidRPr="00616D9C" w:rsidRDefault="00412ACF" w:rsidP="00412ACF">
      <w:pPr>
        <w:widowControl/>
        <w:spacing w:line="480" w:lineRule="exact"/>
        <w:rPr>
          <w:sz w:val="28"/>
          <w:szCs w:val="28"/>
        </w:rPr>
      </w:pPr>
      <w:r w:rsidRPr="00616D9C">
        <w:rPr>
          <w:noProof/>
          <w:sz w:val="28"/>
          <w:szCs w:val="28"/>
        </w:rPr>
        <mc:AlternateContent>
          <mc:Choice Requires="wps">
            <w:drawing>
              <wp:anchor distT="45720" distB="45720" distL="114300" distR="114300" simplePos="0" relativeHeight="251683840" behindDoc="0" locked="0" layoutInCell="1" allowOverlap="1" wp14:anchorId="75468F4E" wp14:editId="2EF499A6">
                <wp:simplePos x="0" y="0"/>
                <wp:positionH relativeFrom="column">
                  <wp:posOffset>2046605</wp:posOffset>
                </wp:positionH>
                <wp:positionV relativeFrom="paragraph">
                  <wp:posOffset>11430</wp:posOffset>
                </wp:positionV>
                <wp:extent cx="2849880" cy="1404620"/>
                <wp:effectExtent l="0" t="0" r="26670" b="13970"/>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04620"/>
                        </a:xfrm>
                        <a:prstGeom prst="rect">
                          <a:avLst/>
                        </a:prstGeom>
                        <a:solidFill>
                          <a:srgbClr val="FFFFFF"/>
                        </a:solidFill>
                        <a:ln w="9525">
                          <a:solidFill>
                            <a:srgbClr val="000000"/>
                          </a:solidFill>
                          <a:miter lim="800000"/>
                          <a:headEnd/>
                          <a:tailEnd/>
                        </a:ln>
                      </wps:spPr>
                      <wps:txbx>
                        <w:txbxContent>
                          <w:p w:rsidR="00412ACF" w:rsidRPr="00092B76" w:rsidRDefault="00412ACF" w:rsidP="00412ACF">
                            <w:pPr>
                              <w:rPr>
                                <w:b/>
                                <w:color w:val="833C0B" w:themeColor="accent2" w:themeShade="80"/>
                              </w:rPr>
                            </w:pPr>
                            <w:r>
                              <w:rPr>
                                <w:b/>
                                <w:noProof/>
                                <w:color w:val="833C0B" w:themeColor="accent2" w:themeShade="80"/>
                              </w:rPr>
                              <w:t>(</w:t>
                            </w:r>
                            <w:r w:rsidRPr="00092B76">
                              <w:rPr>
                                <w:rFonts w:hint="eastAsia"/>
                                <w:b/>
                                <w:noProof/>
                                <w:color w:val="833C0B" w:themeColor="accent2" w:themeShade="80"/>
                              </w:rPr>
                              <w:t>1</w:t>
                            </w:r>
                            <w:r w:rsidRPr="00092B76">
                              <w:rPr>
                                <w:b/>
                                <w:noProof/>
                                <w:color w:val="833C0B" w:themeColor="accent2" w:themeShade="80"/>
                              </w:rPr>
                              <w:t xml:space="preserve">975~2015 </w:t>
                            </w:r>
                            <w:r>
                              <w:rPr>
                                <w:b/>
                                <w:noProof/>
                                <w:color w:val="833C0B" w:themeColor="accent2" w:themeShade="80"/>
                              </w:rPr>
                              <w:t>)</w:t>
                            </w:r>
                            <w:r w:rsidRPr="00092B76">
                              <w:rPr>
                                <w:rFonts w:hint="eastAsia"/>
                                <w:b/>
                                <w:noProof/>
                                <w:color w:val="833C0B" w:themeColor="accent2" w:themeShade="80"/>
                              </w:rPr>
                              <w:t>會計年度校務基金報酬率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468F4E" id="_x0000_s1027" type="#_x0000_t202" style="position:absolute;margin-left:161.15pt;margin-top:.9pt;width:224.4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">
                <v:textbox style="mso-fit-shape-to-text:t">
                  <w:txbxContent>
                    <w:p w:rsidR="00412ACF" w:rsidRPr="00092B76" w:rsidRDefault="00412ACF" w:rsidP="00412ACF">
                      <w:pPr>
                        <w:rPr>
                          <w:b/>
                          <w:color w:val="833C0B" w:themeColor="accent2" w:themeShade="80"/>
                        </w:rPr>
                      </w:pPr>
                      <w:r>
                        <w:rPr>
                          <w:b/>
                          <w:noProof/>
                          <w:color w:val="833C0B" w:themeColor="accent2" w:themeShade="80"/>
                        </w:rPr>
                        <w:t>(</w:t>
                      </w:r>
                      <w:r w:rsidRPr="00092B76">
                        <w:rPr>
                          <w:rFonts w:hint="eastAsia"/>
                          <w:b/>
                          <w:noProof/>
                          <w:color w:val="833C0B" w:themeColor="accent2" w:themeShade="80"/>
                        </w:rPr>
                        <w:t>1</w:t>
                      </w:r>
                      <w:r w:rsidRPr="00092B76">
                        <w:rPr>
                          <w:b/>
                          <w:noProof/>
                          <w:color w:val="833C0B" w:themeColor="accent2" w:themeShade="80"/>
                        </w:rPr>
                        <w:t xml:space="preserve">975~2015 </w:t>
                      </w:r>
                      <w:r>
                        <w:rPr>
                          <w:b/>
                          <w:noProof/>
                          <w:color w:val="833C0B" w:themeColor="accent2" w:themeShade="80"/>
                        </w:rPr>
                        <w:t>)</w:t>
                      </w:r>
                      <w:r w:rsidRPr="00092B76">
                        <w:rPr>
                          <w:rFonts w:hint="eastAsia"/>
                          <w:b/>
                          <w:noProof/>
                          <w:color w:val="833C0B" w:themeColor="accent2" w:themeShade="80"/>
                        </w:rPr>
                        <w:t>會計年度校務基金報酬率</w:t>
                      </w:r>
                    </w:p>
                  </w:txbxContent>
                </v:textbox>
                <w10:wrap type="square"/>
              </v:shape>
            </w:pict>
          </mc:Fallback>
        </mc:AlternateContent>
      </w:r>
    </w:p>
    <w:p w:rsidR="00412ACF" w:rsidRPr="00616D9C" w:rsidRDefault="00412ACF" w:rsidP="00412ACF">
      <w:pPr>
        <w:widowControl/>
        <w:spacing w:line="480" w:lineRule="exact"/>
        <w:rPr>
          <w:sz w:val="28"/>
          <w:szCs w:val="28"/>
        </w:rPr>
      </w:pPr>
    </w:p>
    <w:p w:rsidR="00412ACF" w:rsidRPr="00616D9C" w:rsidRDefault="00412ACF" w:rsidP="00412ACF">
      <w:pPr>
        <w:widowControl/>
        <w:spacing w:line="480" w:lineRule="exact"/>
        <w:rPr>
          <w:sz w:val="28"/>
          <w:szCs w:val="28"/>
        </w:rPr>
      </w:pPr>
    </w:p>
    <w:p w:rsidR="00412ACF" w:rsidRPr="00616D9C" w:rsidRDefault="00412ACF" w:rsidP="00412ACF">
      <w:pPr>
        <w:widowControl/>
        <w:spacing w:line="480" w:lineRule="exact"/>
        <w:rPr>
          <w:sz w:val="28"/>
          <w:szCs w:val="28"/>
        </w:rPr>
      </w:pPr>
      <w:r w:rsidRPr="00616D9C">
        <w:rPr>
          <w:noProof/>
          <w:sz w:val="28"/>
          <w:szCs w:val="28"/>
        </w:rPr>
        <mc:AlternateContent>
          <mc:Choice Requires="wps">
            <w:drawing>
              <wp:anchor distT="45720" distB="45720" distL="114300" distR="114300" simplePos="0" relativeHeight="251684864" behindDoc="0" locked="0" layoutInCell="1" allowOverlap="1" wp14:anchorId="78B747F3" wp14:editId="2A501C88">
                <wp:simplePos x="0" y="0"/>
                <wp:positionH relativeFrom="column">
                  <wp:posOffset>259715</wp:posOffset>
                </wp:positionH>
                <wp:positionV relativeFrom="paragraph">
                  <wp:posOffset>110490</wp:posOffset>
                </wp:positionV>
                <wp:extent cx="289560" cy="801370"/>
                <wp:effectExtent l="0" t="0" r="0" b="0"/>
                <wp:wrapSquare wrapText="bothSides"/>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801370"/>
                        </a:xfrm>
                        <a:prstGeom prst="rect">
                          <a:avLst/>
                        </a:prstGeom>
                        <a:noFill/>
                        <a:ln w="9525">
                          <a:noFill/>
                          <a:miter lim="800000"/>
                          <a:headEnd/>
                          <a:tailEnd/>
                        </a:ln>
                      </wps:spPr>
                      <wps:txbx>
                        <w:txbxContent>
                          <w:p w:rsidR="00412ACF" w:rsidRPr="00616D9C" w:rsidRDefault="00412ACF" w:rsidP="00412ACF">
                            <w:pPr>
                              <w:rPr>
                                <w:b/>
                                <w:color w:val="000000" w:themeColor="text1"/>
                              </w:rPr>
                            </w:pPr>
                            <w:r w:rsidRPr="00616D9C">
                              <w:rPr>
                                <w:b/>
                                <w:color w:val="000000" w:themeColor="text1"/>
                              </w:rPr>
                              <w:t>報</w:t>
                            </w:r>
                            <w:r w:rsidRPr="00616D9C">
                              <w:rPr>
                                <w:rFonts w:hint="eastAsia"/>
                                <w:b/>
                                <w:color w:val="000000" w:themeColor="text1"/>
                              </w:rPr>
                              <w:t>酬率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747F3" id="_x0000_s1028" type="#_x0000_t202" style="position:absolute;margin-left:20.45pt;margin-top:8.7pt;width:22.8pt;height:63.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" filled="f" stroked="f">
                <v:textbox>
                  <w:txbxContent>
                    <w:p w:rsidR="00412ACF" w:rsidRPr="00616D9C" w:rsidRDefault="00412ACF" w:rsidP="00412ACF">
                      <w:pPr>
                        <w:rPr>
                          <w:b/>
                          <w:color w:val="000000" w:themeColor="text1"/>
                        </w:rPr>
                      </w:pPr>
                      <w:r w:rsidRPr="00616D9C">
                        <w:rPr>
                          <w:b/>
                          <w:color w:val="000000" w:themeColor="text1"/>
                        </w:rPr>
                        <w:t>報</w:t>
                      </w:r>
                      <w:r w:rsidRPr="00616D9C">
                        <w:rPr>
                          <w:rFonts w:hint="eastAsia"/>
                          <w:b/>
                          <w:color w:val="000000" w:themeColor="text1"/>
                        </w:rPr>
                        <w:t>酬率</w:t>
                      </w:r>
                    </w:p>
                  </w:txbxContent>
                </v:textbox>
                <w10:wrap type="square"/>
              </v:shape>
            </w:pict>
          </mc:Fallback>
        </mc:AlternateContent>
      </w:r>
    </w:p>
    <w:p w:rsidR="00412ACF" w:rsidRPr="00616D9C" w:rsidRDefault="00412ACF" w:rsidP="00412ACF">
      <w:pPr>
        <w:widowControl/>
        <w:spacing w:line="480" w:lineRule="exact"/>
        <w:rPr>
          <w:sz w:val="28"/>
          <w:szCs w:val="28"/>
        </w:rPr>
      </w:pPr>
    </w:p>
    <w:p w:rsidR="00412ACF" w:rsidRPr="00616D9C" w:rsidRDefault="00412ACF" w:rsidP="00412ACF">
      <w:pPr>
        <w:widowControl/>
        <w:spacing w:line="480" w:lineRule="exact"/>
        <w:rPr>
          <w:sz w:val="28"/>
          <w:szCs w:val="28"/>
        </w:rPr>
      </w:pPr>
    </w:p>
    <w:p w:rsidR="00412ACF" w:rsidRPr="00616D9C" w:rsidRDefault="00412ACF" w:rsidP="00412ACF">
      <w:pPr>
        <w:widowControl/>
        <w:spacing w:line="480" w:lineRule="exact"/>
        <w:rPr>
          <w:sz w:val="28"/>
          <w:szCs w:val="28"/>
        </w:rPr>
      </w:pPr>
    </w:p>
    <w:p w:rsidR="00412ACF" w:rsidRPr="00616D9C" w:rsidRDefault="00412ACF" w:rsidP="00412ACF">
      <w:pPr>
        <w:widowControl/>
        <w:spacing w:line="480" w:lineRule="exact"/>
        <w:rPr>
          <w:sz w:val="28"/>
          <w:szCs w:val="28"/>
        </w:rPr>
      </w:pPr>
      <w:r w:rsidRPr="00616D9C">
        <w:rPr>
          <w:noProof/>
          <w:sz w:val="28"/>
          <w:szCs w:val="28"/>
        </w:rPr>
        <mc:AlternateContent>
          <mc:Choice Requires="wps">
            <w:drawing>
              <wp:anchor distT="0" distB="0" distL="114300" distR="114300" simplePos="0" relativeHeight="251687936" behindDoc="0" locked="0" layoutInCell="1" allowOverlap="1" wp14:anchorId="5E634C92" wp14:editId="227D5B9A">
                <wp:simplePos x="0" y="0"/>
                <wp:positionH relativeFrom="column">
                  <wp:posOffset>2117090</wp:posOffset>
                </wp:positionH>
                <wp:positionV relativeFrom="paragraph">
                  <wp:posOffset>180975</wp:posOffset>
                </wp:positionV>
                <wp:extent cx="483870" cy="600075"/>
                <wp:effectExtent l="0" t="38100" r="49530" b="28575"/>
                <wp:wrapNone/>
                <wp:docPr id="19" name="直線單箭頭接點 19"/>
                <wp:cNvGraphicFramePr/>
                <a:graphic xmlns:a="http://schemas.openxmlformats.org/drawingml/2006/main">
                  <a:graphicData uri="http://schemas.microsoft.com/office/word/2010/wordprocessingShape">
                    <wps:wsp>
                      <wps:cNvCnPr/>
                      <wps:spPr>
                        <a:xfrm flipV="1">
                          <a:off x="0" y="0"/>
                          <a:ext cx="483870" cy="60007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4BD288" id="_x0000_t32" coordsize="21600,21600" o:spt="32" o:oned="t" path="m,l21600,21600e" filled="f">
                <v:path arrowok="t" fillok="f" o:connecttype="none"/>
                <o:lock v:ext="edit" shapetype="t"/>
              </v:shapetype>
              <v:shape id="直線單箭頭接點 19" o:spid="_x0000_s1026" type="#_x0000_t32" style="position:absolute;margin-left:166.7pt;margin-top:14.25pt;width:38.1pt;height:47.2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" strokecolor="#ed7d31 [3205]" strokeweight="1.5pt">
                <v:stroke endarrow="block" joinstyle="miter"/>
              </v:shape>
            </w:pict>
          </mc:Fallback>
        </mc:AlternateContent>
      </w:r>
    </w:p>
    <w:p w:rsidR="00412ACF" w:rsidRPr="00616D9C" w:rsidRDefault="00412ACF" w:rsidP="00412ACF">
      <w:pPr>
        <w:widowControl/>
        <w:spacing w:line="480" w:lineRule="exact"/>
        <w:rPr>
          <w:sz w:val="28"/>
          <w:szCs w:val="28"/>
        </w:rPr>
      </w:pPr>
      <w:r w:rsidRPr="00616D9C">
        <w:rPr>
          <w:noProof/>
          <w:sz w:val="28"/>
          <w:szCs w:val="28"/>
        </w:rPr>
        <mc:AlternateContent>
          <mc:Choice Requires="wps">
            <w:drawing>
              <wp:anchor distT="45720" distB="45720" distL="114300" distR="114300" simplePos="0" relativeHeight="251685888" behindDoc="0" locked="0" layoutInCell="1" allowOverlap="1" wp14:anchorId="3E2FDF43" wp14:editId="4D94EFA5">
                <wp:simplePos x="0" y="0"/>
                <wp:positionH relativeFrom="column">
                  <wp:posOffset>3010535</wp:posOffset>
                </wp:positionH>
                <wp:positionV relativeFrom="paragraph">
                  <wp:posOffset>40005</wp:posOffset>
                </wp:positionV>
                <wp:extent cx="845820" cy="320040"/>
                <wp:effectExtent l="0" t="0" r="0" b="3810"/>
                <wp:wrapSquare wrapText="bothSides"/>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320040"/>
                        </a:xfrm>
                        <a:prstGeom prst="rect">
                          <a:avLst/>
                        </a:prstGeom>
                        <a:noFill/>
                        <a:ln w="9525">
                          <a:noFill/>
                          <a:miter lim="800000"/>
                          <a:headEnd/>
                          <a:tailEnd/>
                        </a:ln>
                      </wps:spPr>
                      <wps:txbx>
                        <w:txbxContent>
                          <w:p w:rsidR="00412ACF" w:rsidRPr="00616D9C" w:rsidRDefault="00412ACF" w:rsidP="00412ACF">
                            <w:pPr>
                              <w:rPr>
                                <w:b/>
                                <w:color w:val="000000" w:themeColor="text1"/>
                              </w:rPr>
                            </w:pPr>
                            <w:r w:rsidRPr="00616D9C">
                              <w:rPr>
                                <w:rFonts w:hint="eastAsia"/>
                                <w:b/>
                                <w:color w:val="000000" w:themeColor="text1"/>
                              </w:rPr>
                              <w:t>會計年</w:t>
                            </w:r>
                            <w:r w:rsidRPr="00616D9C">
                              <w:rPr>
                                <w:b/>
                                <w:color w:val="000000" w:themeColor="text1"/>
                              </w:rPr>
                              <w:t>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FDF43" id="_x0000_s1029" type="#_x0000_t202" style="position:absolute;margin-left:237.05pt;margin-top:3.15pt;width:66.6pt;height:25.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" filled="f" stroked="f">
                <v:textbox>
                  <w:txbxContent>
                    <w:p w:rsidR="00412ACF" w:rsidRPr="00616D9C" w:rsidRDefault="00412ACF" w:rsidP="00412ACF">
                      <w:pPr>
                        <w:rPr>
                          <w:b/>
                          <w:color w:val="000000" w:themeColor="text1"/>
                        </w:rPr>
                      </w:pPr>
                      <w:r w:rsidRPr="00616D9C">
                        <w:rPr>
                          <w:rFonts w:hint="eastAsia"/>
                          <w:b/>
                          <w:color w:val="000000" w:themeColor="text1"/>
                        </w:rPr>
                        <w:t>會計年</w:t>
                      </w:r>
                      <w:r w:rsidRPr="00616D9C">
                        <w:rPr>
                          <w:b/>
                          <w:color w:val="000000" w:themeColor="text1"/>
                        </w:rPr>
                        <w:t>度</w:t>
                      </w:r>
                    </w:p>
                  </w:txbxContent>
                </v:textbox>
                <w10:wrap type="square"/>
              </v:shape>
            </w:pict>
          </mc:Fallback>
        </mc:AlternateContent>
      </w:r>
    </w:p>
    <w:p w:rsidR="00412ACF" w:rsidRPr="00616D9C" w:rsidRDefault="00412ACF" w:rsidP="00412ACF">
      <w:pPr>
        <w:widowControl/>
        <w:spacing w:line="480" w:lineRule="exact"/>
        <w:rPr>
          <w:sz w:val="28"/>
          <w:szCs w:val="28"/>
        </w:rPr>
      </w:pPr>
      <w:r w:rsidRPr="00616D9C">
        <w:rPr>
          <w:noProof/>
          <w:sz w:val="28"/>
          <w:szCs w:val="28"/>
        </w:rPr>
        <mc:AlternateContent>
          <mc:Choice Requires="wps">
            <w:drawing>
              <wp:anchor distT="45720" distB="45720" distL="114300" distR="114300" simplePos="0" relativeHeight="251686912" behindDoc="0" locked="0" layoutInCell="1" allowOverlap="1" wp14:anchorId="65BA72C4" wp14:editId="3CD1C3A3">
                <wp:simplePos x="0" y="0"/>
                <wp:positionH relativeFrom="column">
                  <wp:posOffset>1105535</wp:posOffset>
                </wp:positionH>
                <wp:positionV relativeFrom="paragraph">
                  <wp:posOffset>211455</wp:posOffset>
                </wp:positionV>
                <wp:extent cx="1744980" cy="320040"/>
                <wp:effectExtent l="0" t="0" r="26670" b="22860"/>
                <wp:wrapSquare wrapText="bothSides"/>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320040"/>
                        </a:xfrm>
                        <a:prstGeom prst="rect">
                          <a:avLst/>
                        </a:prstGeom>
                        <a:solidFill>
                          <a:srgbClr val="FFFFFF"/>
                        </a:solidFill>
                        <a:ln w="12700">
                          <a:solidFill>
                            <a:srgbClr val="C00000"/>
                          </a:solidFill>
                          <a:miter lim="800000"/>
                          <a:headEnd/>
                          <a:tailEnd/>
                        </a:ln>
                      </wps:spPr>
                      <wps:txbx>
                        <w:txbxContent>
                          <w:p w:rsidR="00412ACF" w:rsidRPr="00092B76" w:rsidRDefault="00412ACF" w:rsidP="00412ACF">
                            <w:pPr>
                              <w:rPr>
                                <w:b/>
                              </w:rPr>
                            </w:pPr>
                            <w:r w:rsidRPr="00092B76">
                              <w:rPr>
                                <w:rFonts w:hint="eastAsia"/>
                                <w:b/>
                              </w:rPr>
                              <w:t>報酬率標準差</w:t>
                            </w:r>
                            <w:r w:rsidRPr="00092B76">
                              <w:rPr>
                                <w:rFonts w:hint="eastAsia"/>
                                <w:b/>
                              </w:rPr>
                              <w:t>:</w:t>
                            </w:r>
                            <w:r w:rsidRPr="00092B76">
                              <w:rPr>
                                <w:b/>
                              </w:rPr>
                              <w:t xml:space="preserve"> 12.5%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A72C4" id="_x0000_s1030" type="#_x0000_t202" style="position:absolute;margin-left:87.05pt;margin-top:16.65pt;width:137.4pt;height:25.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" strokecolor="#c00000" strokeweight="1pt">
                <v:textbox>
                  <w:txbxContent>
                    <w:p w:rsidR="00412ACF" w:rsidRPr="00092B76" w:rsidRDefault="00412ACF" w:rsidP="00412ACF">
                      <w:pPr>
                        <w:rPr>
                          <w:b/>
                        </w:rPr>
                      </w:pPr>
                      <w:r w:rsidRPr="00092B76">
                        <w:rPr>
                          <w:rFonts w:hint="eastAsia"/>
                          <w:b/>
                        </w:rPr>
                        <w:t>報酬率標準差</w:t>
                      </w:r>
                      <w:r w:rsidRPr="00092B76">
                        <w:rPr>
                          <w:rFonts w:hint="eastAsia"/>
                          <w:b/>
                        </w:rPr>
                        <w:t>:</w:t>
                      </w:r>
                      <w:r w:rsidRPr="00092B76">
                        <w:rPr>
                          <w:b/>
                        </w:rPr>
                        <w:t xml:space="preserve"> 12.5%</w:t>
                      </w:r>
                    </w:p>
                  </w:txbxContent>
                </v:textbox>
                <w10:wrap type="square"/>
              </v:shape>
            </w:pict>
          </mc:Fallback>
        </mc:AlternateContent>
      </w:r>
    </w:p>
    <w:p w:rsidR="00412ACF" w:rsidRPr="00616D9C" w:rsidRDefault="00412ACF" w:rsidP="00412ACF">
      <w:pPr>
        <w:widowControl/>
        <w:spacing w:line="480" w:lineRule="exact"/>
        <w:rPr>
          <w:sz w:val="28"/>
          <w:szCs w:val="28"/>
        </w:rPr>
      </w:pPr>
    </w:p>
    <w:p w:rsidR="00412ACF" w:rsidRPr="00616D9C" w:rsidRDefault="00412ACF" w:rsidP="00412ACF">
      <w:pPr>
        <w:widowControl/>
        <w:spacing w:line="480" w:lineRule="exact"/>
        <w:rPr>
          <w:sz w:val="28"/>
          <w:szCs w:val="28"/>
        </w:rPr>
      </w:pPr>
    </w:p>
    <w:p w:rsidR="00412ACF" w:rsidRPr="00616D9C" w:rsidRDefault="00412ACF" w:rsidP="00412ACF">
      <w:pPr>
        <w:widowControl/>
        <w:spacing w:line="480" w:lineRule="exact"/>
        <w:rPr>
          <w:rFonts w:cs="Arial"/>
          <w:b/>
          <w:bCs/>
          <w:color w:val="615E5A"/>
          <w:sz w:val="28"/>
          <w:szCs w:val="28"/>
        </w:rPr>
      </w:pPr>
    </w:p>
    <w:p w:rsidR="00412ACF" w:rsidRPr="00616D9C" w:rsidRDefault="00412ACF" w:rsidP="00412ACF">
      <w:pPr>
        <w:widowControl/>
        <w:spacing w:line="480" w:lineRule="exact"/>
        <w:jc w:val="center"/>
        <w:rPr>
          <w:rFonts w:cs="Arial"/>
          <w:b/>
          <w:bCs/>
          <w:color w:val="000000" w:themeColor="text1"/>
          <w:sz w:val="28"/>
          <w:szCs w:val="28"/>
        </w:rPr>
      </w:pPr>
      <w:r w:rsidRPr="00616D9C">
        <w:rPr>
          <w:rFonts w:cs="Arial"/>
          <w:b/>
          <w:bCs/>
          <w:color w:val="000000" w:themeColor="text1"/>
          <w:sz w:val="28"/>
          <w:szCs w:val="28"/>
        </w:rPr>
        <w:t>2006~2015</w:t>
      </w:r>
      <w:r w:rsidRPr="00616D9C">
        <w:rPr>
          <w:rFonts w:cs="Arial"/>
          <w:b/>
          <w:bCs/>
          <w:color w:val="000000" w:themeColor="text1"/>
          <w:sz w:val="28"/>
          <w:szCs w:val="28"/>
        </w:rPr>
        <w:t>逐年投資報酬</w:t>
      </w:r>
    </w:p>
    <w:tbl>
      <w:tblPr>
        <w:tblStyle w:val="af1"/>
        <w:tblW w:w="0" w:type="auto"/>
        <w:jc w:val="center"/>
        <w:tblLook w:val="04A0" w:firstRow="1" w:lastRow="0" w:firstColumn="1" w:lastColumn="0" w:noHBand="0" w:noVBand="1"/>
      </w:tblPr>
      <w:tblGrid>
        <w:gridCol w:w="2122"/>
        <w:gridCol w:w="3265"/>
      </w:tblGrid>
      <w:tr w:rsidR="00412ACF" w:rsidRPr="00616D9C" w:rsidTr="00026629">
        <w:trPr>
          <w:jc w:val="center"/>
        </w:trPr>
        <w:tc>
          <w:tcPr>
            <w:tcW w:w="2122" w:type="dxa"/>
            <w:tcBorders>
              <w:top w:val="single" w:sz="18" w:space="0" w:color="000000"/>
              <w:left w:val="single" w:sz="18" w:space="0" w:color="000000"/>
              <w:bottom w:val="double" w:sz="4" w:space="0" w:color="000000"/>
            </w:tcBorders>
          </w:tcPr>
          <w:p w:rsidR="00412ACF" w:rsidRPr="00616D9C" w:rsidRDefault="00412ACF" w:rsidP="00026629">
            <w:pPr>
              <w:widowControl/>
              <w:spacing w:line="480" w:lineRule="exact"/>
              <w:jc w:val="center"/>
              <w:rPr>
                <w:rFonts w:eastAsia="新細明體" w:cs="Arial"/>
                <w:color w:val="000000" w:themeColor="text1"/>
                <w:kern w:val="36"/>
                <w:sz w:val="28"/>
                <w:szCs w:val="28"/>
              </w:rPr>
            </w:pPr>
            <w:r w:rsidRPr="00616D9C">
              <w:rPr>
                <w:rFonts w:cs="Arial"/>
                <w:b/>
                <w:bCs/>
                <w:color w:val="000000" w:themeColor="text1"/>
                <w:sz w:val="28"/>
                <w:szCs w:val="28"/>
              </w:rPr>
              <w:br w:type="page"/>
            </w:r>
            <w:r w:rsidRPr="00616D9C">
              <w:rPr>
                <w:rFonts w:cs="Arial"/>
                <w:b/>
                <w:bCs/>
                <w:color w:val="000000" w:themeColor="text1"/>
                <w:sz w:val="28"/>
                <w:szCs w:val="28"/>
              </w:rPr>
              <w:t>年份</w:t>
            </w:r>
          </w:p>
        </w:tc>
        <w:tc>
          <w:tcPr>
            <w:tcW w:w="3265" w:type="dxa"/>
            <w:tcBorders>
              <w:top w:val="single" w:sz="18" w:space="0" w:color="000000"/>
              <w:bottom w:val="double" w:sz="4" w:space="0" w:color="000000"/>
              <w:right w:val="single" w:sz="18" w:space="0" w:color="000000"/>
            </w:tcBorders>
          </w:tcPr>
          <w:p w:rsidR="00412ACF" w:rsidRPr="00616D9C" w:rsidRDefault="00412ACF" w:rsidP="00026629">
            <w:pPr>
              <w:widowControl/>
              <w:spacing w:line="480" w:lineRule="exact"/>
              <w:jc w:val="center"/>
              <w:rPr>
                <w:rFonts w:eastAsia="新細明體" w:cs="Arial"/>
                <w:color w:val="000000" w:themeColor="text1"/>
                <w:kern w:val="36"/>
                <w:sz w:val="28"/>
                <w:szCs w:val="28"/>
              </w:rPr>
            </w:pPr>
            <w:r w:rsidRPr="00616D9C">
              <w:rPr>
                <w:rFonts w:eastAsia="新細明體" w:cs="Arial"/>
                <w:color w:val="000000" w:themeColor="text1"/>
                <w:kern w:val="36"/>
                <w:sz w:val="28"/>
                <w:szCs w:val="28"/>
              </w:rPr>
              <w:t>投資報酬率</w:t>
            </w:r>
            <w:r w:rsidRPr="00616D9C">
              <w:rPr>
                <w:rFonts w:eastAsia="新細明體" w:cs="Arial"/>
                <w:color w:val="000000" w:themeColor="text1"/>
                <w:kern w:val="36"/>
                <w:sz w:val="28"/>
                <w:szCs w:val="28"/>
              </w:rPr>
              <w:t xml:space="preserve"> %</w:t>
            </w:r>
          </w:p>
        </w:tc>
      </w:tr>
      <w:tr w:rsidR="00412ACF" w:rsidRPr="00616D9C" w:rsidTr="00026629">
        <w:trPr>
          <w:jc w:val="center"/>
        </w:trPr>
        <w:tc>
          <w:tcPr>
            <w:tcW w:w="2122" w:type="dxa"/>
            <w:tcBorders>
              <w:top w:val="double" w:sz="4" w:space="0" w:color="000000"/>
              <w:left w:val="single" w:sz="18" w:space="0" w:color="000000"/>
            </w:tcBorders>
          </w:tcPr>
          <w:p w:rsidR="00412ACF" w:rsidRPr="00616D9C" w:rsidRDefault="00412ACF" w:rsidP="00026629">
            <w:pPr>
              <w:widowControl/>
              <w:spacing w:line="480" w:lineRule="exact"/>
              <w:jc w:val="center"/>
              <w:rPr>
                <w:rFonts w:eastAsia="新細明體" w:cs="Arial"/>
                <w:color w:val="000000" w:themeColor="text1"/>
                <w:kern w:val="36"/>
                <w:sz w:val="28"/>
                <w:szCs w:val="28"/>
              </w:rPr>
            </w:pPr>
            <w:r w:rsidRPr="00616D9C">
              <w:rPr>
                <w:rFonts w:eastAsia="新細明體" w:cs="Arial"/>
                <w:color w:val="000000" w:themeColor="text1"/>
                <w:kern w:val="36"/>
                <w:sz w:val="28"/>
                <w:szCs w:val="28"/>
              </w:rPr>
              <w:t>2006</w:t>
            </w:r>
          </w:p>
        </w:tc>
        <w:tc>
          <w:tcPr>
            <w:tcW w:w="3265" w:type="dxa"/>
            <w:tcBorders>
              <w:top w:val="double" w:sz="4" w:space="0" w:color="000000"/>
              <w:right w:val="single" w:sz="18" w:space="0" w:color="000000"/>
            </w:tcBorders>
          </w:tcPr>
          <w:p w:rsidR="00412ACF" w:rsidRPr="00616D9C" w:rsidRDefault="00412ACF" w:rsidP="00026629">
            <w:pPr>
              <w:widowControl/>
              <w:spacing w:line="480" w:lineRule="exact"/>
              <w:jc w:val="center"/>
              <w:rPr>
                <w:rFonts w:eastAsia="新細明體" w:cs="Arial"/>
                <w:color w:val="000000" w:themeColor="text1"/>
                <w:kern w:val="36"/>
                <w:sz w:val="28"/>
                <w:szCs w:val="28"/>
              </w:rPr>
            </w:pPr>
            <w:hyperlink r:id="rId9" w:history="1">
              <w:r w:rsidRPr="00616D9C">
                <w:rPr>
                  <w:rStyle w:val="af2"/>
                  <w:rFonts w:eastAsia="新細明體" w:cs="Arial"/>
                  <w:color w:val="000000" w:themeColor="text1"/>
                  <w:kern w:val="36"/>
                  <w:sz w:val="28"/>
                  <w:szCs w:val="28"/>
                </w:rPr>
                <w:t>16.7</w:t>
              </w:r>
            </w:hyperlink>
          </w:p>
        </w:tc>
      </w:tr>
      <w:tr w:rsidR="00412ACF" w:rsidRPr="00616D9C" w:rsidTr="00026629">
        <w:trPr>
          <w:jc w:val="center"/>
        </w:trPr>
        <w:tc>
          <w:tcPr>
            <w:tcW w:w="2122" w:type="dxa"/>
            <w:tcBorders>
              <w:left w:val="single" w:sz="18" w:space="0" w:color="000000"/>
            </w:tcBorders>
          </w:tcPr>
          <w:p w:rsidR="00412ACF" w:rsidRPr="00616D9C" w:rsidRDefault="00412ACF" w:rsidP="00026629">
            <w:pPr>
              <w:widowControl/>
              <w:spacing w:line="480" w:lineRule="exact"/>
              <w:jc w:val="center"/>
              <w:rPr>
                <w:rFonts w:eastAsia="新細明體" w:cs="Arial"/>
                <w:color w:val="000000" w:themeColor="text1"/>
                <w:kern w:val="36"/>
                <w:sz w:val="28"/>
                <w:szCs w:val="28"/>
              </w:rPr>
            </w:pPr>
            <w:r w:rsidRPr="00616D9C">
              <w:rPr>
                <w:rFonts w:eastAsia="新細明體" w:cs="Arial"/>
                <w:color w:val="000000" w:themeColor="text1"/>
                <w:kern w:val="36"/>
                <w:sz w:val="28"/>
                <w:szCs w:val="28"/>
              </w:rPr>
              <w:t>2007</w:t>
            </w:r>
          </w:p>
        </w:tc>
        <w:tc>
          <w:tcPr>
            <w:tcW w:w="3265" w:type="dxa"/>
            <w:tcBorders>
              <w:right w:val="single" w:sz="18" w:space="0" w:color="000000"/>
            </w:tcBorders>
          </w:tcPr>
          <w:p w:rsidR="00412ACF" w:rsidRPr="00616D9C" w:rsidRDefault="00412ACF" w:rsidP="00026629">
            <w:pPr>
              <w:widowControl/>
              <w:spacing w:line="480" w:lineRule="exact"/>
              <w:jc w:val="center"/>
              <w:rPr>
                <w:rFonts w:eastAsia="新細明體" w:cs="Arial"/>
                <w:color w:val="000000" w:themeColor="text1"/>
                <w:kern w:val="36"/>
                <w:sz w:val="28"/>
                <w:szCs w:val="28"/>
              </w:rPr>
            </w:pPr>
            <w:hyperlink r:id="rId10" w:history="1">
              <w:r w:rsidRPr="00616D9C">
                <w:rPr>
                  <w:rStyle w:val="af2"/>
                  <w:rFonts w:eastAsia="新細明體" w:cs="Arial"/>
                  <w:color w:val="000000" w:themeColor="text1"/>
                  <w:kern w:val="36"/>
                  <w:sz w:val="28"/>
                  <w:szCs w:val="28"/>
                </w:rPr>
                <w:t>23.0</w:t>
              </w:r>
            </w:hyperlink>
          </w:p>
        </w:tc>
      </w:tr>
      <w:tr w:rsidR="00412ACF" w:rsidRPr="00616D9C" w:rsidTr="00026629">
        <w:trPr>
          <w:jc w:val="center"/>
        </w:trPr>
        <w:tc>
          <w:tcPr>
            <w:tcW w:w="2122" w:type="dxa"/>
            <w:tcBorders>
              <w:left w:val="single" w:sz="18" w:space="0" w:color="000000"/>
            </w:tcBorders>
          </w:tcPr>
          <w:p w:rsidR="00412ACF" w:rsidRPr="00616D9C" w:rsidRDefault="00412ACF" w:rsidP="00026629">
            <w:pPr>
              <w:widowControl/>
              <w:spacing w:line="480" w:lineRule="exact"/>
              <w:jc w:val="center"/>
              <w:rPr>
                <w:rFonts w:eastAsia="新細明體" w:cs="Arial"/>
                <w:color w:val="000000" w:themeColor="text1"/>
                <w:kern w:val="36"/>
                <w:sz w:val="28"/>
                <w:szCs w:val="28"/>
              </w:rPr>
            </w:pPr>
            <w:r w:rsidRPr="00616D9C">
              <w:rPr>
                <w:rFonts w:eastAsia="新細明體" w:cs="Arial"/>
                <w:color w:val="000000" w:themeColor="text1"/>
                <w:kern w:val="36"/>
                <w:sz w:val="28"/>
                <w:szCs w:val="28"/>
              </w:rPr>
              <w:t>2008</w:t>
            </w:r>
          </w:p>
        </w:tc>
        <w:tc>
          <w:tcPr>
            <w:tcW w:w="3265" w:type="dxa"/>
            <w:tcBorders>
              <w:right w:val="single" w:sz="18" w:space="0" w:color="000000"/>
            </w:tcBorders>
          </w:tcPr>
          <w:p w:rsidR="00412ACF" w:rsidRPr="00616D9C" w:rsidRDefault="00412ACF" w:rsidP="00026629">
            <w:pPr>
              <w:widowControl/>
              <w:spacing w:line="480" w:lineRule="exact"/>
              <w:jc w:val="center"/>
              <w:rPr>
                <w:rFonts w:eastAsia="新細明體" w:cs="Arial"/>
                <w:color w:val="000000" w:themeColor="text1"/>
                <w:kern w:val="36"/>
                <w:sz w:val="28"/>
                <w:szCs w:val="28"/>
              </w:rPr>
            </w:pPr>
            <w:hyperlink r:id="rId11" w:history="1">
              <w:r w:rsidRPr="00616D9C">
                <w:rPr>
                  <w:rStyle w:val="af2"/>
                  <w:rFonts w:eastAsia="新細明體" w:cs="Arial"/>
                  <w:color w:val="000000" w:themeColor="text1"/>
                  <w:kern w:val="36"/>
                  <w:sz w:val="28"/>
                  <w:szCs w:val="28"/>
                </w:rPr>
                <w:t>8.6</w:t>
              </w:r>
            </w:hyperlink>
          </w:p>
        </w:tc>
      </w:tr>
      <w:tr w:rsidR="00412ACF" w:rsidRPr="00616D9C" w:rsidTr="00026629">
        <w:trPr>
          <w:jc w:val="center"/>
        </w:trPr>
        <w:tc>
          <w:tcPr>
            <w:tcW w:w="2122" w:type="dxa"/>
            <w:tcBorders>
              <w:left w:val="single" w:sz="18" w:space="0" w:color="000000"/>
            </w:tcBorders>
          </w:tcPr>
          <w:p w:rsidR="00412ACF" w:rsidRPr="00616D9C" w:rsidRDefault="00412ACF" w:rsidP="00026629">
            <w:pPr>
              <w:widowControl/>
              <w:spacing w:line="480" w:lineRule="exact"/>
              <w:jc w:val="center"/>
              <w:rPr>
                <w:rFonts w:eastAsia="新細明體" w:cs="Arial"/>
                <w:color w:val="000000" w:themeColor="text1"/>
                <w:kern w:val="36"/>
                <w:sz w:val="28"/>
                <w:szCs w:val="28"/>
              </w:rPr>
            </w:pPr>
            <w:r w:rsidRPr="00616D9C">
              <w:rPr>
                <w:rFonts w:eastAsia="新細明體" w:cs="Arial"/>
                <w:color w:val="000000" w:themeColor="text1"/>
                <w:kern w:val="36"/>
                <w:sz w:val="28"/>
                <w:szCs w:val="28"/>
              </w:rPr>
              <w:t>2009</w:t>
            </w:r>
          </w:p>
        </w:tc>
        <w:tc>
          <w:tcPr>
            <w:tcW w:w="3265" w:type="dxa"/>
            <w:tcBorders>
              <w:right w:val="single" w:sz="18" w:space="0" w:color="000000"/>
            </w:tcBorders>
          </w:tcPr>
          <w:p w:rsidR="00412ACF" w:rsidRPr="00616D9C" w:rsidRDefault="00412ACF" w:rsidP="00026629">
            <w:pPr>
              <w:widowControl/>
              <w:spacing w:line="480" w:lineRule="exact"/>
              <w:jc w:val="center"/>
              <w:rPr>
                <w:rFonts w:eastAsia="新細明體" w:cs="Arial"/>
                <w:color w:val="000000" w:themeColor="text1"/>
                <w:kern w:val="36"/>
                <w:sz w:val="28"/>
                <w:szCs w:val="28"/>
              </w:rPr>
            </w:pPr>
            <w:hyperlink r:id="rId12" w:history="1">
              <w:r w:rsidRPr="00616D9C">
                <w:rPr>
                  <w:rStyle w:val="af2"/>
                  <w:rFonts w:eastAsia="新細明體" w:cs="Arial"/>
                  <w:color w:val="000000" w:themeColor="text1"/>
                  <w:kern w:val="36"/>
                  <w:sz w:val="28"/>
                  <w:szCs w:val="28"/>
                </w:rPr>
                <w:t>- 27.3</w:t>
              </w:r>
            </w:hyperlink>
          </w:p>
        </w:tc>
      </w:tr>
      <w:tr w:rsidR="00412ACF" w:rsidRPr="00616D9C" w:rsidTr="00026629">
        <w:trPr>
          <w:jc w:val="center"/>
        </w:trPr>
        <w:tc>
          <w:tcPr>
            <w:tcW w:w="2122" w:type="dxa"/>
            <w:tcBorders>
              <w:left w:val="single" w:sz="18" w:space="0" w:color="000000"/>
            </w:tcBorders>
          </w:tcPr>
          <w:p w:rsidR="00412ACF" w:rsidRPr="00616D9C" w:rsidRDefault="00412ACF" w:rsidP="00026629">
            <w:pPr>
              <w:widowControl/>
              <w:spacing w:line="480" w:lineRule="exact"/>
              <w:jc w:val="center"/>
              <w:rPr>
                <w:rFonts w:eastAsia="新細明體" w:cs="Arial"/>
                <w:color w:val="000000" w:themeColor="text1"/>
                <w:kern w:val="36"/>
                <w:sz w:val="28"/>
                <w:szCs w:val="28"/>
              </w:rPr>
            </w:pPr>
            <w:r w:rsidRPr="00616D9C">
              <w:rPr>
                <w:rFonts w:eastAsia="新細明體" w:cs="Arial"/>
                <w:color w:val="000000" w:themeColor="text1"/>
                <w:kern w:val="36"/>
                <w:sz w:val="28"/>
                <w:szCs w:val="28"/>
              </w:rPr>
              <w:t>2010</w:t>
            </w:r>
          </w:p>
        </w:tc>
        <w:tc>
          <w:tcPr>
            <w:tcW w:w="3265" w:type="dxa"/>
            <w:tcBorders>
              <w:right w:val="single" w:sz="18" w:space="0" w:color="000000"/>
            </w:tcBorders>
          </w:tcPr>
          <w:p w:rsidR="00412ACF" w:rsidRPr="00616D9C" w:rsidRDefault="00412ACF" w:rsidP="00026629">
            <w:pPr>
              <w:widowControl/>
              <w:spacing w:line="480" w:lineRule="exact"/>
              <w:jc w:val="center"/>
              <w:rPr>
                <w:rFonts w:eastAsia="新細明體" w:cs="Arial"/>
                <w:color w:val="000000" w:themeColor="text1"/>
                <w:kern w:val="36"/>
                <w:sz w:val="28"/>
                <w:szCs w:val="28"/>
              </w:rPr>
            </w:pPr>
            <w:r w:rsidRPr="00616D9C">
              <w:rPr>
                <w:rFonts w:eastAsia="新細明體" w:cs="Arial"/>
                <w:color w:val="000000" w:themeColor="text1"/>
                <w:kern w:val="36"/>
                <w:sz w:val="28"/>
                <w:szCs w:val="28"/>
              </w:rPr>
              <w:t>11.0</w:t>
            </w:r>
          </w:p>
        </w:tc>
      </w:tr>
      <w:tr w:rsidR="00412ACF" w:rsidRPr="00616D9C" w:rsidTr="00026629">
        <w:trPr>
          <w:jc w:val="center"/>
        </w:trPr>
        <w:tc>
          <w:tcPr>
            <w:tcW w:w="2122" w:type="dxa"/>
            <w:tcBorders>
              <w:left w:val="single" w:sz="18" w:space="0" w:color="000000"/>
            </w:tcBorders>
          </w:tcPr>
          <w:p w:rsidR="00412ACF" w:rsidRPr="00616D9C" w:rsidRDefault="00412ACF" w:rsidP="00026629">
            <w:pPr>
              <w:widowControl/>
              <w:spacing w:line="480" w:lineRule="exact"/>
              <w:jc w:val="center"/>
              <w:rPr>
                <w:rFonts w:eastAsia="新細明體" w:cs="Arial"/>
                <w:color w:val="000000" w:themeColor="text1"/>
                <w:kern w:val="36"/>
                <w:sz w:val="28"/>
                <w:szCs w:val="28"/>
              </w:rPr>
            </w:pPr>
            <w:r w:rsidRPr="00616D9C">
              <w:rPr>
                <w:rFonts w:eastAsia="新細明體" w:cs="Arial"/>
                <w:color w:val="000000" w:themeColor="text1"/>
                <w:kern w:val="36"/>
                <w:sz w:val="28"/>
                <w:szCs w:val="28"/>
              </w:rPr>
              <w:t>2011</w:t>
            </w:r>
          </w:p>
        </w:tc>
        <w:tc>
          <w:tcPr>
            <w:tcW w:w="3265" w:type="dxa"/>
            <w:tcBorders>
              <w:right w:val="single" w:sz="18" w:space="0" w:color="000000"/>
            </w:tcBorders>
          </w:tcPr>
          <w:p w:rsidR="00412ACF" w:rsidRPr="00616D9C" w:rsidRDefault="00412ACF" w:rsidP="00026629">
            <w:pPr>
              <w:widowControl/>
              <w:spacing w:line="480" w:lineRule="exact"/>
              <w:jc w:val="center"/>
              <w:rPr>
                <w:rFonts w:eastAsia="新細明體" w:cs="Arial"/>
                <w:color w:val="000000" w:themeColor="text1"/>
                <w:kern w:val="36"/>
                <w:sz w:val="28"/>
                <w:szCs w:val="28"/>
              </w:rPr>
            </w:pPr>
            <w:hyperlink r:id="rId13" w:history="1">
              <w:r w:rsidRPr="00616D9C">
                <w:rPr>
                  <w:rStyle w:val="af2"/>
                  <w:rFonts w:eastAsia="新細明體" w:cs="Arial"/>
                  <w:color w:val="000000" w:themeColor="text1"/>
                  <w:kern w:val="36"/>
                  <w:sz w:val="28"/>
                  <w:szCs w:val="28"/>
                </w:rPr>
                <w:t>21.4</w:t>
              </w:r>
            </w:hyperlink>
          </w:p>
        </w:tc>
      </w:tr>
      <w:tr w:rsidR="00412ACF" w:rsidRPr="00616D9C" w:rsidTr="00026629">
        <w:trPr>
          <w:jc w:val="center"/>
        </w:trPr>
        <w:tc>
          <w:tcPr>
            <w:tcW w:w="2122" w:type="dxa"/>
            <w:tcBorders>
              <w:left w:val="single" w:sz="18" w:space="0" w:color="000000"/>
            </w:tcBorders>
          </w:tcPr>
          <w:p w:rsidR="00412ACF" w:rsidRPr="00616D9C" w:rsidRDefault="00412ACF" w:rsidP="00026629">
            <w:pPr>
              <w:widowControl/>
              <w:spacing w:line="480" w:lineRule="exact"/>
              <w:jc w:val="center"/>
              <w:rPr>
                <w:rFonts w:eastAsia="新細明體" w:cs="Arial"/>
                <w:color w:val="000000" w:themeColor="text1"/>
                <w:kern w:val="36"/>
                <w:sz w:val="28"/>
                <w:szCs w:val="28"/>
              </w:rPr>
            </w:pPr>
            <w:r w:rsidRPr="00616D9C">
              <w:rPr>
                <w:rFonts w:eastAsia="新細明體" w:cs="Arial"/>
                <w:color w:val="000000" w:themeColor="text1"/>
                <w:kern w:val="36"/>
                <w:sz w:val="28"/>
                <w:szCs w:val="28"/>
              </w:rPr>
              <w:t>2012</w:t>
            </w:r>
          </w:p>
        </w:tc>
        <w:tc>
          <w:tcPr>
            <w:tcW w:w="3265" w:type="dxa"/>
            <w:tcBorders>
              <w:right w:val="single" w:sz="18" w:space="0" w:color="000000"/>
            </w:tcBorders>
          </w:tcPr>
          <w:p w:rsidR="00412ACF" w:rsidRPr="00616D9C" w:rsidRDefault="00412ACF" w:rsidP="00026629">
            <w:pPr>
              <w:widowControl/>
              <w:spacing w:line="480" w:lineRule="exact"/>
              <w:jc w:val="center"/>
              <w:rPr>
                <w:rFonts w:eastAsia="新細明體" w:cs="Arial"/>
                <w:color w:val="000000" w:themeColor="text1"/>
                <w:kern w:val="36"/>
                <w:sz w:val="28"/>
                <w:szCs w:val="28"/>
              </w:rPr>
            </w:pPr>
            <w:hyperlink r:id="rId14" w:history="1">
              <w:r w:rsidRPr="00616D9C">
                <w:rPr>
                  <w:rStyle w:val="af2"/>
                  <w:rFonts w:eastAsia="新細明體" w:cs="Arial"/>
                  <w:color w:val="000000" w:themeColor="text1"/>
                  <w:kern w:val="36"/>
                  <w:sz w:val="28"/>
                  <w:szCs w:val="28"/>
                </w:rPr>
                <w:t>-0.05</w:t>
              </w:r>
            </w:hyperlink>
          </w:p>
        </w:tc>
      </w:tr>
      <w:tr w:rsidR="00412ACF" w:rsidRPr="00616D9C" w:rsidTr="00026629">
        <w:trPr>
          <w:jc w:val="center"/>
        </w:trPr>
        <w:tc>
          <w:tcPr>
            <w:tcW w:w="2122" w:type="dxa"/>
            <w:tcBorders>
              <w:left w:val="single" w:sz="18" w:space="0" w:color="000000"/>
            </w:tcBorders>
          </w:tcPr>
          <w:p w:rsidR="00412ACF" w:rsidRPr="00616D9C" w:rsidRDefault="00412ACF" w:rsidP="00026629">
            <w:pPr>
              <w:widowControl/>
              <w:spacing w:line="480" w:lineRule="exact"/>
              <w:jc w:val="center"/>
              <w:rPr>
                <w:rFonts w:eastAsia="新細明體" w:cs="Arial"/>
                <w:color w:val="000000" w:themeColor="text1"/>
                <w:kern w:val="36"/>
                <w:sz w:val="28"/>
                <w:szCs w:val="28"/>
              </w:rPr>
            </w:pPr>
            <w:r w:rsidRPr="00616D9C">
              <w:rPr>
                <w:rFonts w:eastAsia="新細明體" w:cs="Arial"/>
                <w:color w:val="000000" w:themeColor="text1"/>
                <w:kern w:val="36"/>
                <w:sz w:val="28"/>
                <w:szCs w:val="28"/>
              </w:rPr>
              <w:t>2013</w:t>
            </w:r>
          </w:p>
        </w:tc>
        <w:tc>
          <w:tcPr>
            <w:tcW w:w="3265" w:type="dxa"/>
            <w:tcBorders>
              <w:right w:val="single" w:sz="18" w:space="0" w:color="000000"/>
            </w:tcBorders>
          </w:tcPr>
          <w:p w:rsidR="00412ACF" w:rsidRPr="00616D9C" w:rsidRDefault="00412ACF" w:rsidP="00026629">
            <w:pPr>
              <w:widowControl/>
              <w:spacing w:line="480" w:lineRule="exact"/>
              <w:jc w:val="center"/>
              <w:rPr>
                <w:rFonts w:eastAsia="新細明體" w:cs="Arial"/>
                <w:color w:val="000000" w:themeColor="text1"/>
                <w:kern w:val="36"/>
                <w:sz w:val="28"/>
                <w:szCs w:val="28"/>
              </w:rPr>
            </w:pPr>
            <w:hyperlink r:id="rId15" w:history="1">
              <w:r w:rsidRPr="00616D9C">
                <w:rPr>
                  <w:rStyle w:val="af2"/>
                  <w:rFonts w:eastAsia="新細明體" w:cs="Arial"/>
                  <w:color w:val="000000" w:themeColor="text1"/>
                  <w:kern w:val="36"/>
                  <w:sz w:val="28"/>
                  <w:szCs w:val="28"/>
                </w:rPr>
                <w:t>11.3</w:t>
              </w:r>
            </w:hyperlink>
          </w:p>
        </w:tc>
      </w:tr>
      <w:tr w:rsidR="00412ACF" w:rsidRPr="00616D9C" w:rsidTr="00026629">
        <w:trPr>
          <w:jc w:val="center"/>
        </w:trPr>
        <w:tc>
          <w:tcPr>
            <w:tcW w:w="2122" w:type="dxa"/>
            <w:tcBorders>
              <w:left w:val="single" w:sz="18" w:space="0" w:color="000000"/>
            </w:tcBorders>
          </w:tcPr>
          <w:p w:rsidR="00412ACF" w:rsidRPr="00616D9C" w:rsidRDefault="00412ACF" w:rsidP="00026629">
            <w:pPr>
              <w:widowControl/>
              <w:spacing w:line="480" w:lineRule="exact"/>
              <w:jc w:val="center"/>
              <w:rPr>
                <w:rFonts w:eastAsia="新細明體" w:cs="Arial"/>
                <w:color w:val="000000" w:themeColor="text1"/>
                <w:kern w:val="36"/>
                <w:sz w:val="28"/>
                <w:szCs w:val="28"/>
              </w:rPr>
            </w:pPr>
            <w:r w:rsidRPr="00616D9C">
              <w:rPr>
                <w:rFonts w:eastAsia="新細明體" w:cs="Arial"/>
                <w:color w:val="000000" w:themeColor="text1"/>
                <w:kern w:val="36"/>
                <w:sz w:val="28"/>
                <w:szCs w:val="28"/>
              </w:rPr>
              <w:t>2014</w:t>
            </w:r>
          </w:p>
        </w:tc>
        <w:tc>
          <w:tcPr>
            <w:tcW w:w="3265" w:type="dxa"/>
            <w:tcBorders>
              <w:right w:val="single" w:sz="18" w:space="0" w:color="000000"/>
            </w:tcBorders>
          </w:tcPr>
          <w:p w:rsidR="00412ACF" w:rsidRPr="00616D9C" w:rsidRDefault="00412ACF" w:rsidP="00026629">
            <w:pPr>
              <w:widowControl/>
              <w:spacing w:line="480" w:lineRule="exact"/>
              <w:jc w:val="center"/>
              <w:rPr>
                <w:rFonts w:eastAsia="新細明體" w:cs="Arial"/>
                <w:color w:val="000000" w:themeColor="text1"/>
                <w:kern w:val="36"/>
                <w:sz w:val="28"/>
                <w:szCs w:val="28"/>
              </w:rPr>
            </w:pPr>
            <w:hyperlink r:id="rId16" w:history="1">
              <w:r w:rsidRPr="00616D9C">
                <w:rPr>
                  <w:rStyle w:val="af2"/>
                  <w:rFonts w:eastAsia="新細明體" w:cs="Arial"/>
                  <w:color w:val="000000" w:themeColor="text1"/>
                  <w:kern w:val="36"/>
                  <w:sz w:val="28"/>
                  <w:szCs w:val="28"/>
                </w:rPr>
                <w:t>15.4</w:t>
              </w:r>
            </w:hyperlink>
          </w:p>
        </w:tc>
      </w:tr>
      <w:tr w:rsidR="00412ACF" w:rsidRPr="00616D9C" w:rsidTr="00026629">
        <w:trPr>
          <w:jc w:val="center"/>
        </w:trPr>
        <w:tc>
          <w:tcPr>
            <w:tcW w:w="2122" w:type="dxa"/>
            <w:tcBorders>
              <w:left w:val="single" w:sz="18" w:space="0" w:color="000000"/>
              <w:bottom w:val="single" w:sz="18" w:space="0" w:color="000000"/>
            </w:tcBorders>
          </w:tcPr>
          <w:p w:rsidR="00412ACF" w:rsidRPr="00616D9C" w:rsidRDefault="00412ACF" w:rsidP="00026629">
            <w:pPr>
              <w:widowControl/>
              <w:spacing w:line="480" w:lineRule="exact"/>
              <w:jc w:val="center"/>
              <w:rPr>
                <w:rFonts w:eastAsia="新細明體" w:cs="Arial"/>
                <w:color w:val="000000" w:themeColor="text1"/>
                <w:kern w:val="36"/>
                <w:sz w:val="28"/>
                <w:szCs w:val="28"/>
              </w:rPr>
            </w:pPr>
            <w:r w:rsidRPr="00616D9C">
              <w:rPr>
                <w:rFonts w:eastAsia="新細明體" w:cs="Arial"/>
                <w:color w:val="000000" w:themeColor="text1"/>
                <w:kern w:val="36"/>
                <w:sz w:val="28"/>
                <w:szCs w:val="28"/>
              </w:rPr>
              <w:t>2015</w:t>
            </w:r>
          </w:p>
        </w:tc>
        <w:tc>
          <w:tcPr>
            <w:tcW w:w="3265" w:type="dxa"/>
            <w:tcBorders>
              <w:bottom w:val="single" w:sz="18" w:space="0" w:color="000000"/>
              <w:right w:val="single" w:sz="18" w:space="0" w:color="000000"/>
            </w:tcBorders>
          </w:tcPr>
          <w:p w:rsidR="00412ACF" w:rsidRPr="00616D9C" w:rsidRDefault="00412ACF" w:rsidP="00026629">
            <w:pPr>
              <w:widowControl/>
              <w:spacing w:line="480" w:lineRule="exact"/>
              <w:jc w:val="center"/>
              <w:rPr>
                <w:rFonts w:eastAsia="新細明體" w:cs="Arial"/>
                <w:color w:val="000000" w:themeColor="text1"/>
                <w:kern w:val="36"/>
                <w:sz w:val="28"/>
                <w:szCs w:val="28"/>
              </w:rPr>
            </w:pPr>
            <w:hyperlink r:id="rId17" w:history="1">
              <w:r w:rsidRPr="00616D9C">
                <w:rPr>
                  <w:rStyle w:val="af2"/>
                  <w:rFonts w:eastAsia="新細明體" w:cs="Arial"/>
                  <w:color w:val="000000" w:themeColor="text1"/>
                  <w:kern w:val="36"/>
                  <w:sz w:val="28"/>
                  <w:szCs w:val="28"/>
                </w:rPr>
                <w:t>5.8</w:t>
              </w:r>
            </w:hyperlink>
          </w:p>
        </w:tc>
      </w:tr>
    </w:tbl>
    <w:p w:rsidR="00412ACF" w:rsidRDefault="00412ACF" w:rsidP="00412ACF">
      <w:pPr>
        <w:widowControl/>
        <w:spacing w:line="480" w:lineRule="exact"/>
        <w:rPr>
          <w:rFonts w:eastAsia="新細明體" w:cs="Arial"/>
          <w:color w:val="615E5A"/>
          <w:kern w:val="36"/>
          <w:sz w:val="28"/>
          <w:szCs w:val="28"/>
        </w:rPr>
      </w:pPr>
    </w:p>
    <w:p w:rsidR="00412ACF" w:rsidRDefault="00412ACF" w:rsidP="00412ACF">
      <w:r w:rsidRPr="004D0201">
        <w:rPr>
          <w:rFonts w:ascii="新細明體" w:eastAsia="新細明體" w:hAnsi="新細明體" w:cs="新細明體"/>
          <w:b/>
          <w:bCs/>
          <w:noProof/>
          <w:color w:val="3F3F41"/>
          <w:kern w:val="36"/>
          <w:sz w:val="39"/>
          <w:szCs w:val="39"/>
        </w:rPr>
        <mc:AlternateContent>
          <mc:Choice Requires="wps">
            <w:drawing>
              <wp:anchor distT="45720" distB="45720" distL="114300" distR="114300" simplePos="0" relativeHeight="251688960" behindDoc="0" locked="0" layoutInCell="1" allowOverlap="1" wp14:anchorId="7997030C" wp14:editId="315CDAB9">
                <wp:simplePos x="0" y="0"/>
                <wp:positionH relativeFrom="column">
                  <wp:posOffset>5936615</wp:posOffset>
                </wp:positionH>
                <wp:positionV relativeFrom="paragraph">
                  <wp:posOffset>130810</wp:posOffset>
                </wp:positionV>
                <wp:extent cx="333375" cy="1404620"/>
                <wp:effectExtent l="0" t="0" r="28575" b="1397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4620"/>
                        </a:xfrm>
                        <a:prstGeom prst="rect">
                          <a:avLst/>
                        </a:prstGeom>
                        <a:solidFill>
                          <a:srgbClr val="FFFFFF"/>
                        </a:solidFill>
                        <a:ln w="9525">
                          <a:solidFill>
                            <a:srgbClr val="000000"/>
                          </a:solidFill>
                          <a:miter lim="800000"/>
                          <a:headEnd/>
                          <a:tailEnd/>
                        </a:ln>
                      </wps:spPr>
                      <wps:txbx>
                        <w:txbxContent>
                          <w:p w:rsidR="00412ACF" w:rsidRPr="004D0201" w:rsidRDefault="00412ACF" w:rsidP="00412ACF">
                            <w:pPr>
                              <w:rPr>
                                <w:sz w:val="30"/>
                                <w:szCs w:val="30"/>
                              </w:rPr>
                            </w:pPr>
                            <w:r w:rsidRPr="004D0201">
                              <w:rPr>
                                <w:rFonts w:hint="eastAsia"/>
                                <w:sz w:val="30"/>
                                <w:szCs w:val="30"/>
                              </w:rPr>
                              <w:t>附</w:t>
                            </w:r>
                          </w:p>
                          <w:p w:rsidR="00412ACF" w:rsidRPr="004D0201" w:rsidRDefault="00412ACF" w:rsidP="00412ACF">
                            <w:pPr>
                              <w:rPr>
                                <w:sz w:val="30"/>
                                <w:szCs w:val="30"/>
                              </w:rPr>
                            </w:pPr>
                            <w:r w:rsidRPr="004D0201">
                              <w:rPr>
                                <w:rFonts w:hint="eastAsia"/>
                                <w:sz w:val="30"/>
                                <w:szCs w:val="30"/>
                              </w:rPr>
                              <w:t>件</w:t>
                            </w:r>
                          </w:p>
                          <w:p w:rsidR="00412ACF" w:rsidRPr="004D0201" w:rsidRDefault="00412ACF" w:rsidP="00412ACF">
                            <w:pPr>
                              <w:rPr>
                                <w:sz w:val="30"/>
                                <w:szCs w:val="30"/>
                              </w:rPr>
                            </w:pPr>
                            <w:r>
                              <w:rPr>
                                <w:rFonts w:hint="eastAsia"/>
                                <w:sz w:val="30"/>
                                <w:szCs w:val="30"/>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97030C" id="_x0000_s1031" type="#_x0000_t202" style="position:absolute;margin-left:467.45pt;margin-top:10.3pt;width:26.2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">
                <v:textbox style="mso-fit-shape-to-text:t">
                  <w:txbxContent>
                    <w:p w:rsidR="00412ACF" w:rsidRPr="004D0201" w:rsidRDefault="00412ACF" w:rsidP="00412ACF">
                      <w:pPr>
                        <w:rPr>
                          <w:sz w:val="30"/>
                          <w:szCs w:val="30"/>
                        </w:rPr>
                      </w:pPr>
                      <w:r w:rsidRPr="004D0201">
                        <w:rPr>
                          <w:rFonts w:hint="eastAsia"/>
                          <w:sz w:val="30"/>
                          <w:szCs w:val="30"/>
                        </w:rPr>
                        <w:t>附</w:t>
                      </w:r>
                    </w:p>
                    <w:p w:rsidR="00412ACF" w:rsidRPr="004D0201" w:rsidRDefault="00412ACF" w:rsidP="00412ACF">
                      <w:pPr>
                        <w:rPr>
                          <w:sz w:val="30"/>
                          <w:szCs w:val="30"/>
                        </w:rPr>
                      </w:pPr>
                      <w:r w:rsidRPr="004D0201">
                        <w:rPr>
                          <w:rFonts w:hint="eastAsia"/>
                          <w:sz w:val="30"/>
                          <w:szCs w:val="30"/>
                        </w:rPr>
                        <w:t>件</w:t>
                      </w:r>
                    </w:p>
                    <w:p w:rsidR="00412ACF" w:rsidRPr="004D0201" w:rsidRDefault="00412ACF" w:rsidP="00412ACF">
                      <w:pPr>
                        <w:rPr>
                          <w:sz w:val="30"/>
                          <w:szCs w:val="30"/>
                        </w:rPr>
                      </w:pPr>
                      <w:r>
                        <w:rPr>
                          <w:rFonts w:hint="eastAsia"/>
                          <w:sz w:val="30"/>
                          <w:szCs w:val="30"/>
                        </w:rPr>
                        <w:t>二</w:t>
                      </w:r>
                    </w:p>
                  </w:txbxContent>
                </v:textbox>
                <w10:wrap type="square"/>
              </v:shape>
            </w:pict>
          </mc:Fallback>
        </mc:AlternateContent>
      </w:r>
      <w:bookmarkStart w:id="0" w:name="_GoBack"/>
      <w:r>
        <w:rPr>
          <w:noProof/>
        </w:rPr>
        <w:drawing>
          <wp:inline distT="0" distB="0" distL="0" distR="0" wp14:anchorId="4E634B05" wp14:editId="5241CD31">
            <wp:extent cx="5800725" cy="4048125"/>
            <wp:effectExtent l="0" t="0" r="9525" b="9525"/>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End w:id="0"/>
    </w:p>
    <w:tbl>
      <w:tblPr>
        <w:tblStyle w:val="13"/>
        <w:tblW w:w="9067" w:type="dxa"/>
        <w:tblLayout w:type="fixed"/>
        <w:tblLook w:val="04A0" w:firstRow="1" w:lastRow="0" w:firstColumn="1" w:lastColumn="0" w:noHBand="0" w:noVBand="1"/>
      </w:tblPr>
      <w:tblGrid>
        <w:gridCol w:w="1813"/>
        <w:gridCol w:w="1813"/>
        <w:gridCol w:w="1814"/>
        <w:gridCol w:w="1813"/>
        <w:gridCol w:w="1814"/>
      </w:tblGrid>
      <w:tr w:rsidR="00412ACF" w:rsidRPr="00C32CD5" w:rsidTr="00412AC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13" w:type="dxa"/>
            <w:noWrap/>
            <w:hideMark/>
          </w:tcPr>
          <w:p w:rsidR="00412ACF" w:rsidRPr="00412ACF" w:rsidRDefault="00412ACF" w:rsidP="00026629">
            <w:pPr>
              <w:widowControl/>
              <w:ind w:left="1392" w:hanging="792"/>
              <w:rPr>
                <w:rFonts w:eastAsiaTheme="majorEastAsia" w:cs="新細明體"/>
                <w:color w:val="000000"/>
                <w:kern w:val="0"/>
                <w:sz w:val="26"/>
                <w:szCs w:val="26"/>
              </w:rPr>
            </w:pPr>
            <w:r w:rsidRPr="00412ACF">
              <w:rPr>
                <w:rFonts w:eastAsiaTheme="majorEastAsia" w:cs="新細明體"/>
                <w:color w:val="000000"/>
                <w:kern w:val="0"/>
                <w:sz w:val="26"/>
                <w:szCs w:val="26"/>
              </w:rPr>
              <w:t>年度</w:t>
            </w:r>
          </w:p>
        </w:tc>
        <w:tc>
          <w:tcPr>
            <w:tcW w:w="1813" w:type="dxa"/>
            <w:noWrap/>
            <w:hideMark/>
          </w:tcPr>
          <w:p w:rsidR="00412ACF" w:rsidRPr="00412ACF" w:rsidRDefault="00412ACF" w:rsidP="00026629">
            <w:pPr>
              <w:widowControl/>
              <w:ind w:left="1392" w:hanging="792"/>
              <w:cnfStyle w:val="100000000000" w:firstRow="1" w:lastRow="0" w:firstColumn="0" w:lastColumn="0" w:oddVBand="0" w:evenVBand="0" w:oddHBand="0"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勞保</w:t>
            </w:r>
          </w:p>
        </w:tc>
        <w:tc>
          <w:tcPr>
            <w:tcW w:w="1814" w:type="dxa"/>
            <w:noWrap/>
            <w:hideMark/>
          </w:tcPr>
          <w:p w:rsidR="00412ACF" w:rsidRPr="00412ACF" w:rsidRDefault="00412ACF" w:rsidP="00026629">
            <w:pPr>
              <w:widowControl/>
              <w:ind w:left="1392" w:hanging="792"/>
              <w:cnfStyle w:val="100000000000" w:firstRow="1" w:lastRow="0" w:firstColumn="0" w:lastColumn="0" w:oddVBand="0" w:evenVBand="0" w:oddHBand="0"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勞退</w:t>
            </w:r>
          </w:p>
        </w:tc>
        <w:tc>
          <w:tcPr>
            <w:tcW w:w="1813" w:type="dxa"/>
            <w:noWrap/>
            <w:hideMark/>
          </w:tcPr>
          <w:p w:rsidR="00412ACF" w:rsidRPr="00412ACF" w:rsidRDefault="00412ACF" w:rsidP="00026629">
            <w:pPr>
              <w:widowControl/>
              <w:ind w:left="1392" w:hanging="792"/>
              <w:cnfStyle w:val="100000000000" w:firstRow="1" w:lastRow="0" w:firstColumn="0" w:lastColumn="0" w:oddVBand="0" w:evenVBand="0" w:oddHBand="0"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公保</w:t>
            </w:r>
          </w:p>
        </w:tc>
        <w:tc>
          <w:tcPr>
            <w:tcW w:w="1814" w:type="dxa"/>
            <w:noWrap/>
            <w:hideMark/>
          </w:tcPr>
          <w:p w:rsidR="00412ACF" w:rsidRPr="00412ACF" w:rsidRDefault="00412ACF" w:rsidP="00026629">
            <w:pPr>
              <w:widowControl/>
              <w:ind w:left="1392" w:hanging="792"/>
              <w:cnfStyle w:val="100000000000" w:firstRow="1" w:lastRow="0" w:firstColumn="0" w:lastColumn="0" w:oddVBand="0" w:evenVBand="0" w:oddHBand="0"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退撫</w:t>
            </w:r>
          </w:p>
        </w:tc>
      </w:tr>
      <w:tr w:rsidR="00412ACF" w:rsidRPr="00C32CD5" w:rsidTr="00412AC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13" w:type="dxa"/>
            <w:noWrap/>
            <w:hideMark/>
          </w:tcPr>
          <w:p w:rsidR="00412ACF" w:rsidRPr="00412ACF" w:rsidRDefault="00412ACF" w:rsidP="00026629">
            <w:pPr>
              <w:widowControl/>
              <w:ind w:left="1392" w:hanging="792"/>
              <w:rPr>
                <w:rFonts w:eastAsiaTheme="majorEastAsia" w:cs="新細明體"/>
                <w:color w:val="000000"/>
                <w:kern w:val="0"/>
                <w:sz w:val="26"/>
                <w:szCs w:val="26"/>
              </w:rPr>
            </w:pPr>
            <w:r w:rsidRPr="00412ACF">
              <w:rPr>
                <w:rFonts w:eastAsiaTheme="majorEastAsia" w:cs="新細明體"/>
                <w:color w:val="000000"/>
                <w:kern w:val="0"/>
                <w:sz w:val="26"/>
                <w:szCs w:val="26"/>
              </w:rPr>
              <w:t>95</w:t>
            </w:r>
          </w:p>
        </w:tc>
        <w:tc>
          <w:tcPr>
            <w:tcW w:w="1813" w:type="dxa"/>
            <w:noWrap/>
            <w:hideMark/>
          </w:tcPr>
          <w:p w:rsidR="00412ACF" w:rsidRPr="00412ACF" w:rsidRDefault="00412ACF" w:rsidP="00026629">
            <w:pPr>
              <w:widowControl/>
              <w:ind w:left="1392" w:hanging="792"/>
              <w:cnfStyle w:val="000000100000" w:firstRow="0" w:lastRow="0" w:firstColumn="0" w:lastColumn="0" w:oddVBand="0" w:evenVBand="0" w:oddHBand="1"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7.91 </w:t>
            </w:r>
          </w:p>
        </w:tc>
        <w:tc>
          <w:tcPr>
            <w:tcW w:w="1814" w:type="dxa"/>
            <w:noWrap/>
            <w:hideMark/>
          </w:tcPr>
          <w:p w:rsidR="00412ACF" w:rsidRPr="00412ACF" w:rsidRDefault="00412ACF" w:rsidP="00026629">
            <w:pPr>
              <w:widowControl/>
              <w:ind w:left="1392" w:hanging="792"/>
              <w:cnfStyle w:val="000000100000" w:firstRow="0" w:lastRow="0" w:firstColumn="0" w:lastColumn="0" w:oddVBand="0" w:evenVBand="0" w:oddHBand="1"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1.62 </w:t>
            </w:r>
          </w:p>
        </w:tc>
        <w:tc>
          <w:tcPr>
            <w:tcW w:w="1813" w:type="dxa"/>
            <w:noWrap/>
            <w:hideMark/>
          </w:tcPr>
          <w:p w:rsidR="00412ACF" w:rsidRPr="00412ACF" w:rsidRDefault="00412ACF" w:rsidP="00026629">
            <w:pPr>
              <w:widowControl/>
              <w:ind w:left="1392" w:hanging="792"/>
              <w:cnfStyle w:val="000000100000" w:firstRow="0" w:lastRow="0" w:firstColumn="0" w:lastColumn="0" w:oddVBand="0" w:evenVBand="0" w:oddHBand="1"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5.67 </w:t>
            </w:r>
          </w:p>
        </w:tc>
        <w:tc>
          <w:tcPr>
            <w:tcW w:w="1814" w:type="dxa"/>
            <w:noWrap/>
            <w:hideMark/>
          </w:tcPr>
          <w:p w:rsidR="00412ACF" w:rsidRPr="00412ACF" w:rsidRDefault="00412ACF" w:rsidP="00026629">
            <w:pPr>
              <w:widowControl/>
              <w:ind w:left="1392" w:hanging="792"/>
              <w:cnfStyle w:val="000000100000" w:firstRow="0" w:lastRow="0" w:firstColumn="0" w:lastColumn="0" w:oddVBand="0" w:evenVBand="0" w:oddHBand="1"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10.93 </w:t>
            </w:r>
          </w:p>
        </w:tc>
      </w:tr>
      <w:tr w:rsidR="00412ACF" w:rsidRPr="00C32CD5" w:rsidTr="00412ACF">
        <w:trPr>
          <w:trHeight w:val="510"/>
        </w:trPr>
        <w:tc>
          <w:tcPr>
            <w:cnfStyle w:val="001000000000" w:firstRow="0" w:lastRow="0" w:firstColumn="1" w:lastColumn="0" w:oddVBand="0" w:evenVBand="0" w:oddHBand="0" w:evenHBand="0" w:firstRowFirstColumn="0" w:firstRowLastColumn="0" w:lastRowFirstColumn="0" w:lastRowLastColumn="0"/>
            <w:tcW w:w="1813" w:type="dxa"/>
            <w:noWrap/>
            <w:hideMark/>
          </w:tcPr>
          <w:p w:rsidR="00412ACF" w:rsidRPr="00412ACF" w:rsidRDefault="00412ACF" w:rsidP="00026629">
            <w:pPr>
              <w:widowControl/>
              <w:ind w:left="1392" w:hanging="792"/>
              <w:rPr>
                <w:rFonts w:eastAsiaTheme="majorEastAsia" w:cs="新細明體"/>
                <w:color w:val="000000"/>
                <w:kern w:val="0"/>
                <w:sz w:val="26"/>
                <w:szCs w:val="26"/>
              </w:rPr>
            </w:pPr>
            <w:r w:rsidRPr="00412ACF">
              <w:rPr>
                <w:rFonts w:eastAsiaTheme="majorEastAsia" w:cs="新細明體"/>
                <w:color w:val="000000"/>
                <w:kern w:val="0"/>
                <w:sz w:val="26"/>
                <w:szCs w:val="26"/>
              </w:rPr>
              <w:t>96</w:t>
            </w:r>
          </w:p>
        </w:tc>
        <w:tc>
          <w:tcPr>
            <w:tcW w:w="1813" w:type="dxa"/>
            <w:noWrap/>
            <w:hideMark/>
          </w:tcPr>
          <w:p w:rsidR="00412ACF" w:rsidRPr="00412ACF" w:rsidRDefault="00412ACF" w:rsidP="00026629">
            <w:pPr>
              <w:widowControl/>
              <w:ind w:left="1392" w:hanging="792"/>
              <w:cnfStyle w:val="000000000000" w:firstRow="0" w:lastRow="0" w:firstColumn="0" w:lastColumn="0" w:oddVBand="0" w:evenVBand="0" w:oddHBand="0"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5.78 </w:t>
            </w:r>
          </w:p>
        </w:tc>
        <w:tc>
          <w:tcPr>
            <w:tcW w:w="1814" w:type="dxa"/>
            <w:noWrap/>
            <w:hideMark/>
          </w:tcPr>
          <w:p w:rsidR="00412ACF" w:rsidRPr="00412ACF" w:rsidRDefault="00412ACF" w:rsidP="00026629">
            <w:pPr>
              <w:widowControl/>
              <w:ind w:left="1392" w:hanging="792"/>
              <w:cnfStyle w:val="000000000000" w:firstRow="0" w:lastRow="0" w:firstColumn="0" w:lastColumn="0" w:oddVBand="0" w:evenVBand="0" w:oddHBand="0"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0.42 </w:t>
            </w:r>
          </w:p>
        </w:tc>
        <w:tc>
          <w:tcPr>
            <w:tcW w:w="1813" w:type="dxa"/>
            <w:noWrap/>
            <w:hideMark/>
          </w:tcPr>
          <w:p w:rsidR="00412ACF" w:rsidRPr="00412ACF" w:rsidRDefault="00412ACF" w:rsidP="00026629">
            <w:pPr>
              <w:widowControl/>
              <w:ind w:left="1392" w:hanging="792"/>
              <w:cnfStyle w:val="000000000000" w:firstRow="0" w:lastRow="0" w:firstColumn="0" w:lastColumn="0" w:oddVBand="0" w:evenVBand="0" w:oddHBand="0"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6.84 </w:t>
            </w:r>
          </w:p>
        </w:tc>
        <w:tc>
          <w:tcPr>
            <w:tcW w:w="1814" w:type="dxa"/>
            <w:noWrap/>
            <w:hideMark/>
          </w:tcPr>
          <w:p w:rsidR="00412ACF" w:rsidRPr="00412ACF" w:rsidRDefault="00412ACF" w:rsidP="00026629">
            <w:pPr>
              <w:widowControl/>
              <w:ind w:left="1392" w:hanging="792"/>
              <w:cnfStyle w:val="000000000000" w:firstRow="0" w:lastRow="0" w:firstColumn="0" w:lastColumn="0" w:oddVBand="0" w:evenVBand="0" w:oddHBand="0"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4.91 </w:t>
            </w:r>
          </w:p>
        </w:tc>
      </w:tr>
      <w:tr w:rsidR="00412ACF" w:rsidRPr="00C32CD5" w:rsidTr="00412AC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13" w:type="dxa"/>
            <w:noWrap/>
            <w:hideMark/>
          </w:tcPr>
          <w:p w:rsidR="00412ACF" w:rsidRPr="00412ACF" w:rsidRDefault="00412ACF" w:rsidP="00026629">
            <w:pPr>
              <w:widowControl/>
              <w:ind w:left="1392" w:hanging="792"/>
              <w:rPr>
                <w:rFonts w:eastAsiaTheme="majorEastAsia" w:cs="新細明體"/>
                <w:color w:val="000000"/>
                <w:kern w:val="0"/>
                <w:sz w:val="26"/>
                <w:szCs w:val="26"/>
              </w:rPr>
            </w:pPr>
            <w:r w:rsidRPr="00412ACF">
              <w:rPr>
                <w:rFonts w:eastAsiaTheme="majorEastAsia" w:cs="新細明體"/>
                <w:color w:val="000000"/>
                <w:kern w:val="0"/>
                <w:sz w:val="26"/>
                <w:szCs w:val="26"/>
              </w:rPr>
              <w:t>97</w:t>
            </w:r>
          </w:p>
        </w:tc>
        <w:tc>
          <w:tcPr>
            <w:tcW w:w="1813" w:type="dxa"/>
            <w:noWrap/>
            <w:hideMark/>
          </w:tcPr>
          <w:p w:rsidR="00412ACF" w:rsidRPr="00412ACF" w:rsidRDefault="00412ACF" w:rsidP="00026629">
            <w:pPr>
              <w:widowControl/>
              <w:ind w:left="1392" w:hanging="792"/>
              <w:cnfStyle w:val="000000100000" w:firstRow="0" w:lastRow="0" w:firstColumn="0" w:lastColumn="0" w:oddVBand="0" w:evenVBand="0" w:oddHBand="1"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-16.53 </w:t>
            </w:r>
          </w:p>
        </w:tc>
        <w:tc>
          <w:tcPr>
            <w:tcW w:w="1814" w:type="dxa"/>
            <w:noWrap/>
            <w:hideMark/>
          </w:tcPr>
          <w:p w:rsidR="00412ACF" w:rsidRPr="00412ACF" w:rsidRDefault="00412ACF" w:rsidP="00026629">
            <w:pPr>
              <w:widowControl/>
              <w:ind w:left="1392" w:hanging="792"/>
              <w:cnfStyle w:val="000000100000" w:firstRow="0" w:lastRow="0" w:firstColumn="0" w:lastColumn="0" w:oddVBand="0" w:evenVBand="0" w:oddHBand="1"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-6.05 </w:t>
            </w:r>
          </w:p>
        </w:tc>
        <w:tc>
          <w:tcPr>
            <w:tcW w:w="1813" w:type="dxa"/>
            <w:noWrap/>
            <w:hideMark/>
          </w:tcPr>
          <w:p w:rsidR="00412ACF" w:rsidRPr="00412ACF" w:rsidRDefault="00412ACF" w:rsidP="00026629">
            <w:pPr>
              <w:widowControl/>
              <w:ind w:left="1392" w:hanging="792"/>
              <w:cnfStyle w:val="000000100000" w:firstRow="0" w:lastRow="0" w:firstColumn="0" w:lastColumn="0" w:oddVBand="0" w:evenVBand="0" w:oddHBand="1"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-12.44 </w:t>
            </w:r>
          </w:p>
        </w:tc>
        <w:tc>
          <w:tcPr>
            <w:tcW w:w="1814" w:type="dxa"/>
            <w:noWrap/>
            <w:hideMark/>
          </w:tcPr>
          <w:p w:rsidR="00412ACF" w:rsidRPr="00412ACF" w:rsidRDefault="00412ACF" w:rsidP="00026629">
            <w:pPr>
              <w:widowControl/>
              <w:ind w:left="1392" w:hanging="792"/>
              <w:cnfStyle w:val="000000100000" w:firstRow="0" w:lastRow="0" w:firstColumn="0" w:lastColumn="0" w:oddVBand="0" w:evenVBand="0" w:oddHBand="1"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-22.33 </w:t>
            </w:r>
          </w:p>
        </w:tc>
      </w:tr>
      <w:tr w:rsidR="00412ACF" w:rsidRPr="00C32CD5" w:rsidTr="00412ACF">
        <w:trPr>
          <w:trHeight w:val="510"/>
        </w:trPr>
        <w:tc>
          <w:tcPr>
            <w:cnfStyle w:val="001000000000" w:firstRow="0" w:lastRow="0" w:firstColumn="1" w:lastColumn="0" w:oddVBand="0" w:evenVBand="0" w:oddHBand="0" w:evenHBand="0" w:firstRowFirstColumn="0" w:firstRowLastColumn="0" w:lastRowFirstColumn="0" w:lastRowLastColumn="0"/>
            <w:tcW w:w="1813" w:type="dxa"/>
            <w:noWrap/>
            <w:hideMark/>
          </w:tcPr>
          <w:p w:rsidR="00412ACF" w:rsidRPr="00412ACF" w:rsidRDefault="00412ACF" w:rsidP="00026629">
            <w:pPr>
              <w:widowControl/>
              <w:ind w:left="1392" w:hanging="792"/>
              <w:rPr>
                <w:rFonts w:eastAsiaTheme="majorEastAsia" w:cs="新細明體"/>
                <w:color w:val="000000"/>
                <w:kern w:val="0"/>
                <w:sz w:val="26"/>
                <w:szCs w:val="26"/>
              </w:rPr>
            </w:pPr>
            <w:r w:rsidRPr="00412ACF">
              <w:rPr>
                <w:rFonts w:eastAsiaTheme="majorEastAsia" w:cs="新細明體"/>
                <w:color w:val="000000"/>
                <w:kern w:val="0"/>
                <w:sz w:val="26"/>
                <w:szCs w:val="26"/>
              </w:rPr>
              <w:t>98</w:t>
            </w:r>
          </w:p>
        </w:tc>
        <w:tc>
          <w:tcPr>
            <w:tcW w:w="1813" w:type="dxa"/>
            <w:noWrap/>
            <w:hideMark/>
          </w:tcPr>
          <w:p w:rsidR="00412ACF" w:rsidRPr="00412ACF" w:rsidRDefault="00412ACF" w:rsidP="00026629">
            <w:pPr>
              <w:widowControl/>
              <w:ind w:left="1392" w:hanging="792"/>
              <w:cnfStyle w:val="000000000000" w:firstRow="0" w:lastRow="0" w:firstColumn="0" w:lastColumn="0" w:oddVBand="0" w:evenVBand="0" w:oddHBand="0"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18.21 </w:t>
            </w:r>
          </w:p>
        </w:tc>
        <w:tc>
          <w:tcPr>
            <w:tcW w:w="1814" w:type="dxa"/>
            <w:noWrap/>
            <w:hideMark/>
          </w:tcPr>
          <w:p w:rsidR="00412ACF" w:rsidRPr="00412ACF" w:rsidRDefault="00412ACF" w:rsidP="00026629">
            <w:pPr>
              <w:widowControl/>
              <w:ind w:left="1392" w:hanging="792"/>
              <w:cnfStyle w:val="000000000000" w:firstRow="0" w:lastRow="0" w:firstColumn="0" w:lastColumn="0" w:oddVBand="0" w:evenVBand="0" w:oddHBand="0"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11.83 </w:t>
            </w:r>
          </w:p>
        </w:tc>
        <w:tc>
          <w:tcPr>
            <w:tcW w:w="1813" w:type="dxa"/>
            <w:noWrap/>
            <w:hideMark/>
          </w:tcPr>
          <w:p w:rsidR="00412ACF" w:rsidRPr="00412ACF" w:rsidRDefault="00412ACF" w:rsidP="00026629">
            <w:pPr>
              <w:widowControl/>
              <w:ind w:left="1392" w:hanging="792"/>
              <w:cnfStyle w:val="000000000000" w:firstRow="0" w:lastRow="0" w:firstColumn="0" w:lastColumn="0" w:oddVBand="0" w:evenVBand="0" w:oddHBand="0"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15.23 </w:t>
            </w:r>
          </w:p>
        </w:tc>
        <w:tc>
          <w:tcPr>
            <w:tcW w:w="1814" w:type="dxa"/>
            <w:noWrap/>
            <w:hideMark/>
          </w:tcPr>
          <w:p w:rsidR="00412ACF" w:rsidRPr="00412ACF" w:rsidRDefault="00412ACF" w:rsidP="00026629">
            <w:pPr>
              <w:widowControl/>
              <w:ind w:left="1392" w:hanging="792"/>
              <w:cnfStyle w:val="000000000000" w:firstRow="0" w:lastRow="0" w:firstColumn="0" w:lastColumn="0" w:oddVBand="0" w:evenVBand="0" w:oddHBand="0"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19.49 </w:t>
            </w:r>
          </w:p>
        </w:tc>
      </w:tr>
      <w:tr w:rsidR="00412ACF" w:rsidRPr="00C32CD5" w:rsidTr="00412AC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13" w:type="dxa"/>
            <w:noWrap/>
            <w:hideMark/>
          </w:tcPr>
          <w:p w:rsidR="00412ACF" w:rsidRPr="00412ACF" w:rsidRDefault="00412ACF" w:rsidP="00026629">
            <w:pPr>
              <w:widowControl/>
              <w:ind w:left="1392" w:hanging="792"/>
              <w:rPr>
                <w:rFonts w:eastAsiaTheme="majorEastAsia" w:cs="新細明體"/>
                <w:color w:val="000000"/>
                <w:kern w:val="0"/>
                <w:sz w:val="26"/>
                <w:szCs w:val="26"/>
              </w:rPr>
            </w:pPr>
            <w:r w:rsidRPr="00412ACF">
              <w:rPr>
                <w:rFonts w:eastAsiaTheme="majorEastAsia" w:cs="新細明體"/>
                <w:color w:val="000000"/>
                <w:kern w:val="0"/>
                <w:sz w:val="26"/>
                <w:szCs w:val="26"/>
              </w:rPr>
              <w:t>99</w:t>
            </w:r>
          </w:p>
        </w:tc>
        <w:tc>
          <w:tcPr>
            <w:tcW w:w="1813" w:type="dxa"/>
            <w:noWrap/>
            <w:hideMark/>
          </w:tcPr>
          <w:p w:rsidR="00412ACF" w:rsidRPr="00412ACF" w:rsidRDefault="00412ACF" w:rsidP="00026629">
            <w:pPr>
              <w:widowControl/>
              <w:ind w:left="1392" w:hanging="792"/>
              <w:cnfStyle w:val="000000100000" w:firstRow="0" w:lastRow="0" w:firstColumn="0" w:lastColumn="0" w:oddVBand="0" w:evenVBand="0" w:oddHBand="1"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3.96 </w:t>
            </w:r>
          </w:p>
        </w:tc>
        <w:tc>
          <w:tcPr>
            <w:tcW w:w="1814" w:type="dxa"/>
            <w:noWrap/>
            <w:hideMark/>
          </w:tcPr>
          <w:p w:rsidR="00412ACF" w:rsidRPr="00412ACF" w:rsidRDefault="00412ACF" w:rsidP="00026629">
            <w:pPr>
              <w:widowControl/>
              <w:ind w:left="1392" w:hanging="792"/>
              <w:cnfStyle w:val="000000100000" w:firstRow="0" w:lastRow="0" w:firstColumn="0" w:lastColumn="0" w:oddVBand="0" w:evenVBand="0" w:oddHBand="1"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1.54 </w:t>
            </w:r>
          </w:p>
        </w:tc>
        <w:tc>
          <w:tcPr>
            <w:tcW w:w="1813" w:type="dxa"/>
            <w:noWrap/>
            <w:hideMark/>
          </w:tcPr>
          <w:p w:rsidR="00412ACF" w:rsidRPr="00412ACF" w:rsidRDefault="00412ACF" w:rsidP="00026629">
            <w:pPr>
              <w:widowControl/>
              <w:ind w:left="1392" w:hanging="792"/>
              <w:cnfStyle w:val="000000100000" w:firstRow="0" w:lastRow="0" w:firstColumn="0" w:lastColumn="0" w:oddVBand="0" w:evenVBand="0" w:oddHBand="1"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2.61 </w:t>
            </w:r>
          </w:p>
        </w:tc>
        <w:tc>
          <w:tcPr>
            <w:tcW w:w="1814" w:type="dxa"/>
            <w:noWrap/>
            <w:hideMark/>
          </w:tcPr>
          <w:p w:rsidR="00412ACF" w:rsidRPr="00412ACF" w:rsidRDefault="00412ACF" w:rsidP="00026629">
            <w:pPr>
              <w:widowControl/>
              <w:ind w:left="1392" w:hanging="792"/>
              <w:cnfStyle w:val="000000100000" w:firstRow="0" w:lastRow="0" w:firstColumn="0" w:lastColumn="0" w:oddVBand="0" w:evenVBand="0" w:oddHBand="1"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3.60 </w:t>
            </w:r>
          </w:p>
        </w:tc>
      </w:tr>
      <w:tr w:rsidR="00412ACF" w:rsidRPr="00C32CD5" w:rsidTr="00412ACF">
        <w:trPr>
          <w:trHeight w:val="510"/>
        </w:trPr>
        <w:tc>
          <w:tcPr>
            <w:cnfStyle w:val="001000000000" w:firstRow="0" w:lastRow="0" w:firstColumn="1" w:lastColumn="0" w:oddVBand="0" w:evenVBand="0" w:oddHBand="0" w:evenHBand="0" w:firstRowFirstColumn="0" w:firstRowLastColumn="0" w:lastRowFirstColumn="0" w:lastRowLastColumn="0"/>
            <w:tcW w:w="1813" w:type="dxa"/>
            <w:noWrap/>
            <w:hideMark/>
          </w:tcPr>
          <w:p w:rsidR="00412ACF" w:rsidRPr="00412ACF" w:rsidRDefault="00412ACF" w:rsidP="00026629">
            <w:pPr>
              <w:widowControl/>
              <w:ind w:left="1392" w:hanging="792"/>
              <w:rPr>
                <w:rFonts w:eastAsiaTheme="majorEastAsia" w:cs="新細明體"/>
                <w:color w:val="000000"/>
                <w:kern w:val="0"/>
                <w:sz w:val="26"/>
                <w:szCs w:val="26"/>
              </w:rPr>
            </w:pPr>
            <w:r w:rsidRPr="00412ACF">
              <w:rPr>
                <w:rFonts w:eastAsiaTheme="majorEastAsia" w:cs="新細明體"/>
                <w:color w:val="000000"/>
                <w:kern w:val="0"/>
                <w:sz w:val="26"/>
                <w:szCs w:val="26"/>
              </w:rPr>
              <w:t>100</w:t>
            </w:r>
          </w:p>
        </w:tc>
        <w:tc>
          <w:tcPr>
            <w:tcW w:w="1813" w:type="dxa"/>
            <w:noWrap/>
            <w:hideMark/>
          </w:tcPr>
          <w:p w:rsidR="00412ACF" w:rsidRPr="00412ACF" w:rsidRDefault="00412ACF" w:rsidP="00026629">
            <w:pPr>
              <w:widowControl/>
              <w:ind w:left="1392" w:hanging="792"/>
              <w:cnfStyle w:val="000000000000" w:firstRow="0" w:lastRow="0" w:firstColumn="0" w:lastColumn="0" w:oddVBand="0" w:evenVBand="0" w:oddHBand="0"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-2.97 </w:t>
            </w:r>
          </w:p>
        </w:tc>
        <w:tc>
          <w:tcPr>
            <w:tcW w:w="1814" w:type="dxa"/>
            <w:noWrap/>
            <w:hideMark/>
          </w:tcPr>
          <w:p w:rsidR="00412ACF" w:rsidRPr="00412ACF" w:rsidRDefault="00412ACF" w:rsidP="00026629">
            <w:pPr>
              <w:widowControl/>
              <w:ind w:left="1392" w:hanging="792"/>
              <w:cnfStyle w:val="000000000000" w:firstRow="0" w:lastRow="0" w:firstColumn="0" w:lastColumn="0" w:oddVBand="0" w:evenVBand="0" w:oddHBand="0"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-3.94 </w:t>
            </w:r>
          </w:p>
        </w:tc>
        <w:tc>
          <w:tcPr>
            <w:tcW w:w="1813" w:type="dxa"/>
            <w:noWrap/>
            <w:hideMark/>
          </w:tcPr>
          <w:p w:rsidR="00412ACF" w:rsidRPr="00412ACF" w:rsidRDefault="00412ACF" w:rsidP="00026629">
            <w:pPr>
              <w:widowControl/>
              <w:ind w:left="1392" w:hanging="792"/>
              <w:cnfStyle w:val="000000000000" w:firstRow="0" w:lastRow="0" w:firstColumn="0" w:lastColumn="0" w:oddVBand="0" w:evenVBand="0" w:oddHBand="0"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-2.87 </w:t>
            </w:r>
          </w:p>
        </w:tc>
        <w:tc>
          <w:tcPr>
            <w:tcW w:w="1814" w:type="dxa"/>
            <w:noWrap/>
            <w:hideMark/>
          </w:tcPr>
          <w:p w:rsidR="00412ACF" w:rsidRPr="00412ACF" w:rsidRDefault="00412ACF" w:rsidP="00026629">
            <w:pPr>
              <w:widowControl/>
              <w:ind w:left="1392" w:hanging="792"/>
              <w:cnfStyle w:val="000000000000" w:firstRow="0" w:lastRow="0" w:firstColumn="0" w:lastColumn="0" w:oddVBand="0" w:evenVBand="0" w:oddHBand="0"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-5.98 </w:t>
            </w:r>
          </w:p>
        </w:tc>
      </w:tr>
      <w:tr w:rsidR="00412ACF" w:rsidRPr="00C32CD5" w:rsidTr="00412AC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13" w:type="dxa"/>
            <w:noWrap/>
            <w:hideMark/>
          </w:tcPr>
          <w:p w:rsidR="00412ACF" w:rsidRPr="00412ACF" w:rsidRDefault="00412ACF" w:rsidP="00026629">
            <w:pPr>
              <w:widowControl/>
              <w:ind w:left="1392" w:hanging="792"/>
              <w:rPr>
                <w:rFonts w:eastAsiaTheme="majorEastAsia" w:cs="新細明體"/>
                <w:color w:val="000000"/>
                <w:kern w:val="0"/>
                <w:sz w:val="26"/>
                <w:szCs w:val="26"/>
              </w:rPr>
            </w:pPr>
            <w:r w:rsidRPr="00412ACF">
              <w:rPr>
                <w:rFonts w:eastAsiaTheme="majorEastAsia" w:cs="新細明體"/>
                <w:color w:val="000000"/>
                <w:kern w:val="0"/>
                <w:sz w:val="26"/>
                <w:szCs w:val="26"/>
              </w:rPr>
              <w:t>101</w:t>
            </w:r>
          </w:p>
        </w:tc>
        <w:tc>
          <w:tcPr>
            <w:tcW w:w="1813" w:type="dxa"/>
            <w:noWrap/>
            <w:hideMark/>
          </w:tcPr>
          <w:p w:rsidR="00412ACF" w:rsidRPr="00412ACF" w:rsidRDefault="00412ACF" w:rsidP="00026629">
            <w:pPr>
              <w:widowControl/>
              <w:ind w:left="1392" w:hanging="792"/>
              <w:cnfStyle w:val="000000100000" w:firstRow="0" w:lastRow="0" w:firstColumn="0" w:lastColumn="0" w:oddVBand="0" w:evenVBand="0" w:oddHBand="1"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6.25 </w:t>
            </w:r>
          </w:p>
        </w:tc>
        <w:tc>
          <w:tcPr>
            <w:tcW w:w="1814" w:type="dxa"/>
            <w:noWrap/>
            <w:hideMark/>
          </w:tcPr>
          <w:p w:rsidR="00412ACF" w:rsidRPr="00412ACF" w:rsidRDefault="00412ACF" w:rsidP="00026629">
            <w:pPr>
              <w:widowControl/>
              <w:ind w:left="1392" w:hanging="792"/>
              <w:cnfStyle w:val="000000100000" w:firstRow="0" w:lastRow="0" w:firstColumn="0" w:lastColumn="0" w:oddVBand="0" w:evenVBand="0" w:oddHBand="1"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5.01 </w:t>
            </w:r>
          </w:p>
        </w:tc>
        <w:tc>
          <w:tcPr>
            <w:tcW w:w="1813" w:type="dxa"/>
            <w:noWrap/>
            <w:hideMark/>
          </w:tcPr>
          <w:p w:rsidR="00412ACF" w:rsidRPr="00412ACF" w:rsidRDefault="00412ACF" w:rsidP="00026629">
            <w:pPr>
              <w:widowControl/>
              <w:ind w:left="1392" w:hanging="792"/>
              <w:cnfStyle w:val="000000100000" w:firstRow="0" w:lastRow="0" w:firstColumn="0" w:lastColumn="0" w:oddVBand="0" w:evenVBand="0" w:oddHBand="1"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4.72 </w:t>
            </w:r>
          </w:p>
        </w:tc>
        <w:tc>
          <w:tcPr>
            <w:tcW w:w="1814" w:type="dxa"/>
            <w:noWrap/>
            <w:hideMark/>
          </w:tcPr>
          <w:p w:rsidR="00412ACF" w:rsidRPr="00412ACF" w:rsidRDefault="00412ACF" w:rsidP="00026629">
            <w:pPr>
              <w:widowControl/>
              <w:ind w:left="1392" w:hanging="792"/>
              <w:cnfStyle w:val="000000100000" w:firstRow="0" w:lastRow="0" w:firstColumn="0" w:lastColumn="0" w:oddVBand="0" w:evenVBand="0" w:oddHBand="1"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6.17 </w:t>
            </w:r>
          </w:p>
        </w:tc>
      </w:tr>
      <w:tr w:rsidR="00412ACF" w:rsidRPr="00C32CD5" w:rsidTr="00412ACF">
        <w:trPr>
          <w:trHeight w:val="510"/>
        </w:trPr>
        <w:tc>
          <w:tcPr>
            <w:cnfStyle w:val="001000000000" w:firstRow="0" w:lastRow="0" w:firstColumn="1" w:lastColumn="0" w:oddVBand="0" w:evenVBand="0" w:oddHBand="0" w:evenHBand="0" w:firstRowFirstColumn="0" w:firstRowLastColumn="0" w:lastRowFirstColumn="0" w:lastRowLastColumn="0"/>
            <w:tcW w:w="1813" w:type="dxa"/>
            <w:noWrap/>
            <w:hideMark/>
          </w:tcPr>
          <w:p w:rsidR="00412ACF" w:rsidRPr="00412ACF" w:rsidRDefault="00412ACF" w:rsidP="00026629">
            <w:pPr>
              <w:widowControl/>
              <w:ind w:left="1392" w:hanging="792"/>
              <w:rPr>
                <w:rFonts w:eastAsiaTheme="majorEastAsia" w:cs="新細明體"/>
                <w:color w:val="000000"/>
                <w:kern w:val="0"/>
                <w:sz w:val="26"/>
                <w:szCs w:val="26"/>
              </w:rPr>
            </w:pPr>
            <w:r w:rsidRPr="00412ACF">
              <w:rPr>
                <w:rFonts w:eastAsiaTheme="majorEastAsia" w:cs="新細明體"/>
                <w:color w:val="000000"/>
                <w:kern w:val="0"/>
                <w:sz w:val="26"/>
                <w:szCs w:val="26"/>
              </w:rPr>
              <w:t>102</w:t>
            </w:r>
          </w:p>
        </w:tc>
        <w:tc>
          <w:tcPr>
            <w:tcW w:w="1813" w:type="dxa"/>
            <w:noWrap/>
            <w:hideMark/>
          </w:tcPr>
          <w:p w:rsidR="00412ACF" w:rsidRPr="00412ACF" w:rsidRDefault="00412ACF" w:rsidP="00026629">
            <w:pPr>
              <w:widowControl/>
              <w:ind w:left="1392" w:hanging="792"/>
              <w:cnfStyle w:val="000000000000" w:firstRow="0" w:lastRow="0" w:firstColumn="0" w:lastColumn="0" w:oddVBand="0" w:evenVBand="0" w:oddHBand="0"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6.35 </w:t>
            </w:r>
          </w:p>
        </w:tc>
        <w:tc>
          <w:tcPr>
            <w:tcW w:w="1814" w:type="dxa"/>
            <w:noWrap/>
            <w:hideMark/>
          </w:tcPr>
          <w:p w:rsidR="00412ACF" w:rsidRPr="00412ACF" w:rsidRDefault="00412ACF" w:rsidP="00026629">
            <w:pPr>
              <w:widowControl/>
              <w:ind w:left="1392" w:hanging="792"/>
              <w:cnfStyle w:val="000000000000" w:firstRow="0" w:lastRow="0" w:firstColumn="0" w:lastColumn="0" w:oddVBand="0" w:evenVBand="0" w:oddHBand="0"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5.67 </w:t>
            </w:r>
          </w:p>
        </w:tc>
        <w:tc>
          <w:tcPr>
            <w:tcW w:w="1813" w:type="dxa"/>
            <w:noWrap/>
            <w:hideMark/>
          </w:tcPr>
          <w:p w:rsidR="00412ACF" w:rsidRPr="00412ACF" w:rsidRDefault="00412ACF" w:rsidP="00026629">
            <w:pPr>
              <w:widowControl/>
              <w:ind w:left="1392" w:hanging="792"/>
              <w:cnfStyle w:val="000000000000" w:firstRow="0" w:lastRow="0" w:firstColumn="0" w:lastColumn="0" w:oddVBand="0" w:evenVBand="0" w:oddHBand="0"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6.02 </w:t>
            </w:r>
          </w:p>
        </w:tc>
        <w:tc>
          <w:tcPr>
            <w:tcW w:w="1814" w:type="dxa"/>
            <w:noWrap/>
            <w:hideMark/>
          </w:tcPr>
          <w:p w:rsidR="00412ACF" w:rsidRPr="00412ACF" w:rsidRDefault="00412ACF" w:rsidP="00026629">
            <w:pPr>
              <w:widowControl/>
              <w:ind w:left="1392" w:hanging="792"/>
              <w:cnfStyle w:val="000000000000" w:firstRow="0" w:lastRow="0" w:firstColumn="0" w:lastColumn="0" w:oddVBand="0" w:evenVBand="0" w:oddHBand="0"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8.30 </w:t>
            </w:r>
          </w:p>
        </w:tc>
      </w:tr>
      <w:tr w:rsidR="00412ACF" w:rsidRPr="00C32CD5" w:rsidTr="00412AC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13" w:type="dxa"/>
            <w:noWrap/>
            <w:hideMark/>
          </w:tcPr>
          <w:p w:rsidR="00412ACF" w:rsidRPr="00412ACF" w:rsidRDefault="00412ACF" w:rsidP="00026629">
            <w:pPr>
              <w:widowControl/>
              <w:ind w:left="1392" w:hanging="792"/>
              <w:rPr>
                <w:rFonts w:eastAsiaTheme="majorEastAsia" w:cs="新細明體"/>
                <w:color w:val="000000"/>
                <w:kern w:val="0"/>
                <w:sz w:val="26"/>
                <w:szCs w:val="26"/>
              </w:rPr>
            </w:pPr>
            <w:r w:rsidRPr="00412ACF">
              <w:rPr>
                <w:rFonts w:eastAsiaTheme="majorEastAsia" w:cs="新細明體"/>
                <w:color w:val="000000"/>
                <w:kern w:val="0"/>
                <w:sz w:val="26"/>
                <w:szCs w:val="26"/>
              </w:rPr>
              <w:t>103</w:t>
            </w:r>
          </w:p>
        </w:tc>
        <w:tc>
          <w:tcPr>
            <w:tcW w:w="1813" w:type="dxa"/>
            <w:noWrap/>
            <w:hideMark/>
          </w:tcPr>
          <w:p w:rsidR="00412ACF" w:rsidRPr="00412ACF" w:rsidRDefault="00412ACF" w:rsidP="00026629">
            <w:pPr>
              <w:widowControl/>
              <w:ind w:left="1392" w:hanging="792"/>
              <w:cnfStyle w:val="000000100000" w:firstRow="0" w:lastRow="0" w:firstColumn="0" w:lastColumn="0" w:oddVBand="0" w:evenVBand="0" w:oddHBand="1"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5.61 </w:t>
            </w:r>
          </w:p>
        </w:tc>
        <w:tc>
          <w:tcPr>
            <w:tcW w:w="1814" w:type="dxa"/>
            <w:noWrap/>
            <w:hideMark/>
          </w:tcPr>
          <w:p w:rsidR="00412ACF" w:rsidRPr="00412ACF" w:rsidRDefault="00412ACF" w:rsidP="00026629">
            <w:pPr>
              <w:widowControl/>
              <w:ind w:left="1392" w:hanging="792"/>
              <w:cnfStyle w:val="000000100000" w:firstRow="0" w:lastRow="0" w:firstColumn="0" w:lastColumn="0" w:oddVBand="0" w:evenVBand="0" w:oddHBand="1"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6.38 </w:t>
            </w:r>
          </w:p>
        </w:tc>
        <w:tc>
          <w:tcPr>
            <w:tcW w:w="1813" w:type="dxa"/>
            <w:noWrap/>
            <w:hideMark/>
          </w:tcPr>
          <w:p w:rsidR="00412ACF" w:rsidRPr="00412ACF" w:rsidRDefault="00412ACF" w:rsidP="00026629">
            <w:pPr>
              <w:widowControl/>
              <w:ind w:left="1392" w:hanging="792"/>
              <w:cnfStyle w:val="000000100000" w:firstRow="0" w:lastRow="0" w:firstColumn="0" w:lastColumn="0" w:oddVBand="0" w:evenVBand="0" w:oddHBand="1"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6.72 </w:t>
            </w:r>
          </w:p>
        </w:tc>
        <w:tc>
          <w:tcPr>
            <w:tcW w:w="1814" w:type="dxa"/>
            <w:noWrap/>
            <w:hideMark/>
          </w:tcPr>
          <w:p w:rsidR="00412ACF" w:rsidRPr="00412ACF" w:rsidRDefault="00412ACF" w:rsidP="00026629">
            <w:pPr>
              <w:widowControl/>
              <w:ind w:left="1392" w:hanging="792"/>
              <w:cnfStyle w:val="000000100000" w:firstRow="0" w:lastRow="0" w:firstColumn="0" w:lastColumn="0" w:oddVBand="0" w:evenVBand="0" w:oddHBand="1"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6.50 </w:t>
            </w:r>
          </w:p>
        </w:tc>
      </w:tr>
      <w:tr w:rsidR="00412ACF" w:rsidRPr="00C32CD5" w:rsidTr="00412ACF">
        <w:trPr>
          <w:trHeight w:val="510"/>
        </w:trPr>
        <w:tc>
          <w:tcPr>
            <w:cnfStyle w:val="001000000000" w:firstRow="0" w:lastRow="0" w:firstColumn="1" w:lastColumn="0" w:oddVBand="0" w:evenVBand="0" w:oddHBand="0" w:evenHBand="0" w:firstRowFirstColumn="0" w:firstRowLastColumn="0" w:lastRowFirstColumn="0" w:lastRowLastColumn="0"/>
            <w:tcW w:w="1813" w:type="dxa"/>
            <w:noWrap/>
            <w:hideMark/>
          </w:tcPr>
          <w:p w:rsidR="00412ACF" w:rsidRPr="00412ACF" w:rsidRDefault="00412ACF" w:rsidP="00026629">
            <w:pPr>
              <w:widowControl/>
              <w:ind w:left="1392" w:hanging="792"/>
              <w:rPr>
                <w:rFonts w:eastAsiaTheme="majorEastAsia" w:cs="新細明體"/>
                <w:color w:val="000000"/>
                <w:kern w:val="0"/>
                <w:sz w:val="26"/>
                <w:szCs w:val="26"/>
              </w:rPr>
            </w:pPr>
            <w:r w:rsidRPr="00412ACF">
              <w:rPr>
                <w:rFonts w:eastAsiaTheme="majorEastAsia" w:cs="新細明體"/>
                <w:color w:val="000000"/>
                <w:kern w:val="0"/>
                <w:sz w:val="26"/>
                <w:szCs w:val="26"/>
              </w:rPr>
              <w:t>104</w:t>
            </w:r>
          </w:p>
        </w:tc>
        <w:tc>
          <w:tcPr>
            <w:tcW w:w="1813" w:type="dxa"/>
            <w:noWrap/>
            <w:hideMark/>
          </w:tcPr>
          <w:p w:rsidR="00412ACF" w:rsidRPr="00412ACF" w:rsidRDefault="00412ACF" w:rsidP="00026629">
            <w:pPr>
              <w:widowControl/>
              <w:ind w:left="1392" w:hanging="792"/>
              <w:cnfStyle w:val="000000000000" w:firstRow="0" w:lastRow="0" w:firstColumn="0" w:lastColumn="0" w:oddVBand="0" w:evenVBand="0" w:oddHBand="0"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-0.55 </w:t>
            </w:r>
          </w:p>
        </w:tc>
        <w:tc>
          <w:tcPr>
            <w:tcW w:w="1814" w:type="dxa"/>
            <w:noWrap/>
            <w:hideMark/>
          </w:tcPr>
          <w:p w:rsidR="00412ACF" w:rsidRPr="00412ACF" w:rsidRDefault="00412ACF" w:rsidP="00026629">
            <w:pPr>
              <w:widowControl/>
              <w:ind w:left="1392" w:hanging="792"/>
              <w:cnfStyle w:val="000000000000" w:firstRow="0" w:lastRow="0" w:firstColumn="0" w:lastColumn="0" w:oddVBand="0" w:evenVBand="0" w:oddHBand="0"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-0.09 </w:t>
            </w:r>
          </w:p>
        </w:tc>
        <w:tc>
          <w:tcPr>
            <w:tcW w:w="1813" w:type="dxa"/>
            <w:noWrap/>
            <w:hideMark/>
          </w:tcPr>
          <w:p w:rsidR="00412ACF" w:rsidRPr="00412ACF" w:rsidRDefault="00412ACF" w:rsidP="00026629">
            <w:pPr>
              <w:widowControl/>
              <w:ind w:left="1392" w:hanging="792"/>
              <w:cnfStyle w:val="000000000000" w:firstRow="0" w:lastRow="0" w:firstColumn="0" w:lastColumn="0" w:oddVBand="0" w:evenVBand="0" w:oddHBand="0"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0.37 </w:t>
            </w:r>
          </w:p>
        </w:tc>
        <w:tc>
          <w:tcPr>
            <w:tcW w:w="1814" w:type="dxa"/>
            <w:noWrap/>
            <w:hideMark/>
          </w:tcPr>
          <w:p w:rsidR="00412ACF" w:rsidRPr="00412ACF" w:rsidRDefault="00412ACF" w:rsidP="00026629">
            <w:pPr>
              <w:widowControl/>
              <w:ind w:left="1392" w:hanging="792"/>
              <w:cnfStyle w:val="000000000000" w:firstRow="0" w:lastRow="0" w:firstColumn="0" w:lastColumn="0" w:oddVBand="0" w:evenVBand="0" w:oddHBand="0" w:evenHBand="0" w:firstRowFirstColumn="0" w:firstRowLastColumn="0" w:lastRowFirstColumn="0" w:lastRowLastColumn="0"/>
              <w:rPr>
                <w:rFonts w:eastAsiaTheme="majorEastAsia" w:cs="新細明體"/>
                <w:color w:val="000000"/>
                <w:kern w:val="0"/>
                <w:sz w:val="26"/>
                <w:szCs w:val="26"/>
              </w:rPr>
            </w:pPr>
            <w:r w:rsidRPr="00412ACF">
              <w:rPr>
                <w:rFonts w:eastAsiaTheme="majorEastAsia" w:cs="新細明體"/>
                <w:color w:val="000000"/>
                <w:kern w:val="0"/>
                <w:sz w:val="26"/>
                <w:szCs w:val="26"/>
              </w:rPr>
              <w:t xml:space="preserve">-1.94 </w:t>
            </w:r>
          </w:p>
        </w:tc>
      </w:tr>
    </w:tbl>
    <w:p w:rsidR="00412ACF" w:rsidRPr="00BF5B10" w:rsidRDefault="00412ACF" w:rsidP="00412ACF">
      <w:pPr>
        <w:rPr>
          <w:rFonts w:hint="eastAsia"/>
        </w:rPr>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412ACF" w:rsidP="00E14273">
      <w:pPr>
        <w:snapToGrid w:val="0"/>
      </w:pPr>
    </w:p>
    <w:p w:rsidR="00412ACF" w:rsidRDefault="00E14273" w:rsidP="00412ACF">
      <w:pPr>
        <w:snapToGrid w:val="0"/>
        <w:rPr>
          <w:rFonts w:ascii="新細明體" w:eastAsia="新細明體" w:hAnsi="新細明體"/>
          <w:b/>
          <w:sz w:val="30"/>
          <w:szCs w:val="30"/>
          <w:u w:val="single"/>
        </w:rPr>
      </w:pPr>
      <w:r w:rsidRPr="004D0201">
        <w:rPr>
          <w:rFonts w:ascii="新細明體" w:eastAsia="新細明體" w:hAnsi="新細明體" w:cs="新細明體"/>
          <w:b/>
          <w:bCs/>
          <w:noProof/>
          <w:color w:val="3F3F41"/>
          <w:kern w:val="36"/>
          <w:sz w:val="39"/>
          <w:szCs w:val="39"/>
        </w:rPr>
        <w:lastRenderedPageBreak/>
        <mc:AlternateContent>
          <mc:Choice Requires="wps">
            <w:drawing>
              <wp:anchor distT="45720" distB="45720" distL="114300" distR="114300" simplePos="0" relativeHeight="251671552" behindDoc="0" locked="0" layoutInCell="1" allowOverlap="1" wp14:anchorId="6CB32FBC" wp14:editId="313B29D9">
                <wp:simplePos x="0" y="0"/>
                <wp:positionH relativeFrom="rightMargin">
                  <wp:align>left</wp:align>
                </wp:positionH>
                <wp:positionV relativeFrom="paragraph">
                  <wp:posOffset>35560</wp:posOffset>
                </wp:positionV>
                <wp:extent cx="333375" cy="1404620"/>
                <wp:effectExtent l="0" t="0" r="2857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4620"/>
                        </a:xfrm>
                        <a:prstGeom prst="rect">
                          <a:avLst/>
                        </a:prstGeom>
                        <a:solidFill>
                          <a:srgbClr val="FFFFFF"/>
                        </a:solidFill>
                        <a:ln w="9525">
                          <a:solidFill>
                            <a:srgbClr val="000000"/>
                          </a:solidFill>
                          <a:miter lim="800000"/>
                          <a:headEnd/>
                          <a:tailEnd/>
                        </a:ln>
                      </wps:spPr>
                      <wps:txbx>
                        <w:txbxContent>
                          <w:p w:rsidR="00E14273" w:rsidRPr="004D0201" w:rsidRDefault="00E14273" w:rsidP="00E14273">
                            <w:pPr>
                              <w:rPr>
                                <w:sz w:val="30"/>
                                <w:szCs w:val="30"/>
                              </w:rPr>
                            </w:pPr>
                            <w:r w:rsidRPr="004D0201">
                              <w:rPr>
                                <w:rFonts w:hint="eastAsia"/>
                                <w:sz w:val="30"/>
                                <w:szCs w:val="30"/>
                              </w:rPr>
                              <w:t>附</w:t>
                            </w:r>
                          </w:p>
                          <w:p w:rsidR="00E14273" w:rsidRPr="004D0201" w:rsidRDefault="00E14273" w:rsidP="00E14273">
                            <w:pPr>
                              <w:rPr>
                                <w:sz w:val="30"/>
                                <w:szCs w:val="30"/>
                              </w:rPr>
                            </w:pPr>
                            <w:r w:rsidRPr="004D0201">
                              <w:rPr>
                                <w:rFonts w:hint="eastAsia"/>
                                <w:sz w:val="30"/>
                                <w:szCs w:val="30"/>
                              </w:rPr>
                              <w:t>件</w:t>
                            </w:r>
                          </w:p>
                          <w:p w:rsidR="00E14273" w:rsidRPr="004D0201" w:rsidRDefault="00412ACF" w:rsidP="00E14273">
                            <w:pPr>
                              <w:rPr>
                                <w:sz w:val="30"/>
                                <w:szCs w:val="30"/>
                              </w:rPr>
                            </w:pPr>
                            <w:proofErr w:type="gramStart"/>
                            <w:r>
                              <w:rPr>
                                <w:rFonts w:hint="eastAsia"/>
                                <w:sz w:val="30"/>
                                <w:szCs w:val="30"/>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B32FBC" id="_x0000_s1032" type="#_x0000_t202" style="position:absolute;margin-left:0;margin-top:2.8pt;width:26.25pt;height:110.6pt;z-index:251671552;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">
                <v:textbox style="mso-fit-shape-to-text:t">
                  <w:txbxContent>
                    <w:p w:rsidR="00E14273" w:rsidRPr="004D0201" w:rsidRDefault="00E14273" w:rsidP="00E14273">
                      <w:pPr>
                        <w:rPr>
                          <w:sz w:val="30"/>
                          <w:szCs w:val="30"/>
                        </w:rPr>
                      </w:pPr>
                      <w:r w:rsidRPr="004D0201">
                        <w:rPr>
                          <w:rFonts w:hint="eastAsia"/>
                          <w:sz w:val="30"/>
                          <w:szCs w:val="30"/>
                        </w:rPr>
                        <w:t>附</w:t>
                      </w:r>
                    </w:p>
                    <w:p w:rsidR="00E14273" w:rsidRPr="004D0201" w:rsidRDefault="00E14273" w:rsidP="00E14273">
                      <w:pPr>
                        <w:rPr>
                          <w:sz w:val="30"/>
                          <w:szCs w:val="30"/>
                        </w:rPr>
                      </w:pPr>
                      <w:r w:rsidRPr="004D0201">
                        <w:rPr>
                          <w:rFonts w:hint="eastAsia"/>
                          <w:sz w:val="30"/>
                          <w:szCs w:val="30"/>
                        </w:rPr>
                        <w:t>件</w:t>
                      </w:r>
                    </w:p>
                    <w:p w:rsidR="00E14273" w:rsidRPr="004D0201" w:rsidRDefault="00412ACF" w:rsidP="00E14273">
                      <w:pPr>
                        <w:rPr>
                          <w:sz w:val="30"/>
                          <w:szCs w:val="30"/>
                        </w:rPr>
                      </w:pPr>
                      <w:proofErr w:type="gramStart"/>
                      <w:r>
                        <w:rPr>
                          <w:rFonts w:hint="eastAsia"/>
                          <w:sz w:val="30"/>
                          <w:szCs w:val="30"/>
                        </w:rPr>
                        <w:t>三</w:t>
                      </w:r>
                      <w:proofErr w:type="gramEnd"/>
                    </w:p>
                  </w:txbxContent>
                </v:textbox>
                <w10:wrap type="square" anchorx="margin"/>
              </v:shape>
            </w:pict>
          </mc:Fallback>
        </mc:AlternateContent>
      </w:r>
    </w:p>
    <w:p w:rsidR="00BF5B10" w:rsidRPr="006B2958" w:rsidRDefault="006B2958" w:rsidP="006B2958">
      <w:pPr>
        <w:pStyle w:val="a4"/>
        <w:ind w:leftChars="54" w:left="130" w:firstLineChars="0" w:firstLine="0"/>
        <w:jc w:val="center"/>
        <w:rPr>
          <w:rFonts w:ascii="新細明體" w:eastAsia="新細明體" w:hAnsi="新細明體"/>
          <w:b/>
          <w:sz w:val="30"/>
          <w:szCs w:val="30"/>
          <w:u w:val="single"/>
        </w:rPr>
      </w:pPr>
      <w:r w:rsidRPr="006B2958">
        <w:rPr>
          <w:rFonts w:ascii="新細明體" w:eastAsia="新細明體" w:hAnsi="新細明體" w:hint="eastAsia"/>
          <w:b/>
          <w:sz w:val="30"/>
          <w:szCs w:val="30"/>
          <w:u w:val="single"/>
        </w:rPr>
        <w:t>公務人員退休撫卹基金管理條例修正草案</w:t>
      </w:r>
    </w:p>
    <w:p w:rsidR="006B2958" w:rsidRPr="006B2958" w:rsidRDefault="006B2958" w:rsidP="006B2958"/>
    <w:p w:rsidR="00BF5B10" w:rsidRDefault="00BF5B10" w:rsidP="006B2958">
      <w:pPr>
        <w:pStyle w:val="a4"/>
        <w:ind w:leftChars="0" w:left="0" w:firstLineChars="0" w:firstLine="0"/>
        <w:rPr>
          <w:rFonts w:ascii="新細明體" w:eastAsia="新細明體" w:hAnsi="新細明體"/>
          <w:sz w:val="26"/>
          <w:szCs w:val="26"/>
        </w:rPr>
      </w:pPr>
      <w:r>
        <w:rPr>
          <w:rFonts w:ascii="新細明體" w:eastAsia="新細明體" w:hAnsi="新細明體" w:hint="eastAsia"/>
          <w:sz w:val="26"/>
          <w:szCs w:val="26"/>
        </w:rPr>
        <w:t>案由：為整合軍公教退休撫卹基金之運作及監督，以強化基金運作效能，特提出「公務人員退休撫卹基金管理條例修正草案」，是否有當，敬請公決</w:t>
      </w:r>
    </w:p>
    <w:p w:rsidR="00BF5B10" w:rsidRDefault="00BF5B10" w:rsidP="00BF5B10">
      <w:pPr>
        <w:pStyle w:val="a4"/>
        <w:ind w:left="1397" w:hanging="795"/>
        <w:rPr>
          <w:rFonts w:ascii="新細明體" w:eastAsia="新細明體" w:hAnsi="新細明體"/>
          <w:sz w:val="26"/>
          <w:szCs w:val="26"/>
        </w:rPr>
      </w:pPr>
    </w:p>
    <w:p w:rsidR="00BF5B10" w:rsidRDefault="00BF5B10" w:rsidP="00BF5B10">
      <w:pPr>
        <w:pStyle w:val="a3"/>
        <w:ind w:left="783" w:hanging="783"/>
        <w:rPr>
          <w:rFonts w:ascii="新細明體" w:eastAsia="新細明體" w:hAnsi="新細明體"/>
          <w:sz w:val="26"/>
          <w:szCs w:val="26"/>
        </w:rPr>
      </w:pPr>
      <w:r>
        <w:rPr>
          <w:rFonts w:ascii="新細明體" w:eastAsia="新細明體" w:hAnsi="新細明體" w:hint="eastAsia"/>
          <w:sz w:val="26"/>
          <w:szCs w:val="26"/>
        </w:rPr>
        <w:t>說明：我國公部門受雇者（軍、公、教、政）自民國八十四年起陸續建立退撫基金，並採身份別分戶立帳，唯因經驗不足，組織分立為管理與監理，二十幾年來績效欠佳，迭為外界所詬病，亟需參考國內外退休基金之營運，以期維護基金參加人暨各級政府之權益。修正重點如下：</w:t>
      </w:r>
    </w:p>
    <w:p w:rsidR="00BF5B10" w:rsidRDefault="00BF5B10" w:rsidP="00BF5B10">
      <w:pPr>
        <w:pStyle w:val="a6"/>
        <w:ind w:left="763" w:hanging="522"/>
        <w:rPr>
          <w:rFonts w:ascii="新細明體" w:eastAsia="新細明體" w:hAnsi="新細明體"/>
          <w:sz w:val="26"/>
          <w:szCs w:val="26"/>
        </w:rPr>
      </w:pPr>
      <w:r>
        <w:rPr>
          <w:rFonts w:ascii="新細明體" w:eastAsia="新細明體" w:hAnsi="新細明體" w:hint="eastAsia"/>
          <w:sz w:val="26"/>
          <w:szCs w:val="26"/>
        </w:rPr>
        <w:t>一、將監理、管理工作合併在一個組織下，以免組織並立、延宕時機（草案第二條）。</w:t>
      </w:r>
    </w:p>
    <w:p w:rsidR="00BF5B10" w:rsidRDefault="00BF5B10" w:rsidP="00BF5B10">
      <w:pPr>
        <w:pStyle w:val="a6"/>
        <w:ind w:left="763" w:hanging="522"/>
        <w:rPr>
          <w:rFonts w:ascii="新細明體" w:eastAsia="新細明體" w:hAnsi="新細明體"/>
          <w:sz w:val="26"/>
          <w:szCs w:val="26"/>
        </w:rPr>
      </w:pPr>
      <w:r>
        <w:rPr>
          <w:rFonts w:ascii="新細明體" w:eastAsia="新細明體" w:hAnsi="新細明體" w:hint="eastAsia"/>
          <w:sz w:val="26"/>
          <w:szCs w:val="26"/>
        </w:rPr>
        <w:t>二、對基金來源，根據二十多年來實務補充增訂（草案第三條）。</w:t>
      </w:r>
    </w:p>
    <w:p w:rsidR="00BF5B10" w:rsidRDefault="00BF5B10" w:rsidP="00BF5B10">
      <w:pPr>
        <w:pStyle w:val="a6"/>
        <w:ind w:left="763" w:hanging="522"/>
        <w:rPr>
          <w:rFonts w:ascii="新細明體" w:eastAsia="新細明體" w:hAnsi="新細明體"/>
          <w:sz w:val="26"/>
          <w:szCs w:val="26"/>
        </w:rPr>
      </w:pPr>
      <w:r>
        <w:rPr>
          <w:rFonts w:ascii="新細明體" w:eastAsia="新細明體" w:hAnsi="新細明體" w:hint="eastAsia"/>
          <w:sz w:val="26"/>
          <w:szCs w:val="26"/>
        </w:rPr>
        <w:t>三、將基金收繳之規定，由施行細則提昇到法律條文（草案第四條至第五條）。</w:t>
      </w:r>
    </w:p>
    <w:p w:rsidR="00BF5B10" w:rsidRDefault="00BF5B10" w:rsidP="00BF5B10">
      <w:pPr>
        <w:pStyle w:val="a6"/>
        <w:ind w:left="763" w:hanging="522"/>
        <w:rPr>
          <w:rFonts w:ascii="新細明體" w:eastAsia="新細明體" w:hAnsi="新細明體"/>
          <w:sz w:val="26"/>
          <w:szCs w:val="26"/>
        </w:rPr>
      </w:pPr>
      <w:r>
        <w:rPr>
          <w:rFonts w:ascii="新細明體" w:eastAsia="新細明體" w:hAnsi="新細明體" w:hint="eastAsia"/>
          <w:sz w:val="26"/>
          <w:szCs w:val="26"/>
        </w:rPr>
        <w:t>四、增訂收支平衡準備，以利與國庫撥補相互衡平（草案第七條）。</w:t>
      </w:r>
    </w:p>
    <w:p w:rsidR="00BF5B10" w:rsidRDefault="00BF5B10" w:rsidP="00BF5B10">
      <w:pPr>
        <w:pStyle w:val="a6"/>
        <w:ind w:left="763" w:hanging="522"/>
        <w:rPr>
          <w:rFonts w:ascii="新細明體" w:eastAsia="新細明體" w:hAnsi="新細明體"/>
          <w:sz w:val="26"/>
          <w:szCs w:val="26"/>
        </w:rPr>
      </w:pPr>
      <w:r>
        <w:rPr>
          <w:rFonts w:ascii="新細明體" w:eastAsia="新細明體" w:hAnsi="新細明體" w:hint="eastAsia"/>
          <w:sz w:val="26"/>
          <w:szCs w:val="26"/>
        </w:rPr>
        <w:t>五、規定中央政府應定期檢討處理潛藏負債，以維護年輕世代對退撫基金的信賴（草案第十條）。</w:t>
      </w:r>
    </w:p>
    <w:p w:rsidR="00BF5B10" w:rsidRDefault="00BF5B10" w:rsidP="00BF5B10">
      <w:pPr>
        <w:pStyle w:val="a6"/>
        <w:ind w:left="763" w:hanging="522"/>
        <w:rPr>
          <w:rFonts w:ascii="新細明體" w:eastAsia="新細明體" w:hAnsi="新細明體"/>
          <w:sz w:val="26"/>
          <w:szCs w:val="26"/>
        </w:rPr>
      </w:pPr>
      <w:r>
        <w:rPr>
          <w:rFonts w:ascii="新細明體" w:eastAsia="新細明體" w:hAnsi="新細明體" w:hint="eastAsia"/>
          <w:sz w:val="26"/>
          <w:szCs w:val="26"/>
        </w:rPr>
        <w:t>六、規定基金運用績效及投資標的、買賣紀錄之自動公布時程，以資取信（草案第十條）。</w:t>
      </w:r>
    </w:p>
    <w:p w:rsidR="006B2958" w:rsidRDefault="006B2958" w:rsidP="00BF5B10">
      <w:pPr>
        <w:rPr>
          <w:rFonts w:ascii="Times New Roman" w:eastAsia="華康細明體" w:hAnsi="Times New Roman"/>
          <w:sz w:val="21"/>
          <w:szCs w:val="24"/>
        </w:rPr>
      </w:pPr>
    </w:p>
    <w:p w:rsidR="006B2958" w:rsidRDefault="006B2958" w:rsidP="00BF5B10">
      <w:pPr>
        <w:rPr>
          <w:rFonts w:ascii="Times New Roman" w:eastAsia="華康細明體" w:hAnsi="Times New Roman"/>
          <w:sz w:val="21"/>
          <w:szCs w:val="24"/>
        </w:rPr>
      </w:pPr>
    </w:p>
    <w:p w:rsidR="006B2958" w:rsidRDefault="006B2958" w:rsidP="00BF5B10">
      <w:pPr>
        <w:rPr>
          <w:rFonts w:ascii="Times New Roman" w:eastAsia="華康細明體" w:hAnsi="Times New Roman"/>
          <w:sz w:val="21"/>
          <w:szCs w:val="24"/>
        </w:rPr>
      </w:pPr>
    </w:p>
    <w:p w:rsidR="00BF5B10" w:rsidRDefault="00BF5B10" w:rsidP="00BF5B10"/>
    <w:p w:rsidR="00CA6EE9" w:rsidRDefault="00CA6EE9" w:rsidP="00CA6EE9">
      <w:pPr>
        <w:jc w:val="center"/>
        <w:rPr>
          <w:rFonts w:ascii="新細明體" w:eastAsia="新細明體" w:hAnsi="新細明體"/>
          <w:sz w:val="26"/>
          <w:szCs w:val="26"/>
        </w:rPr>
      </w:pPr>
    </w:p>
    <w:p w:rsidR="00CA6EE9" w:rsidRDefault="00CA6EE9" w:rsidP="00CA6EE9">
      <w:pPr>
        <w:jc w:val="center"/>
        <w:rPr>
          <w:rFonts w:ascii="新細明體" w:eastAsia="新細明體" w:hAnsi="新細明體"/>
          <w:sz w:val="26"/>
          <w:szCs w:val="26"/>
        </w:rPr>
      </w:pPr>
    </w:p>
    <w:p w:rsidR="00CA6EE9" w:rsidRDefault="00CA6EE9" w:rsidP="00CA6EE9">
      <w:pPr>
        <w:jc w:val="center"/>
        <w:rPr>
          <w:rFonts w:ascii="新細明體" w:eastAsia="新細明體" w:hAnsi="新細明體"/>
          <w:sz w:val="26"/>
          <w:szCs w:val="26"/>
        </w:rPr>
      </w:pPr>
    </w:p>
    <w:p w:rsidR="00BF5B10" w:rsidRDefault="00BF5B10" w:rsidP="00CA6EE9">
      <w:pPr>
        <w:jc w:val="center"/>
        <w:rPr>
          <w:rFonts w:ascii="新細明體" w:eastAsia="新細明體" w:hAnsi="新細明體"/>
          <w:sz w:val="26"/>
          <w:szCs w:val="26"/>
        </w:rPr>
        <w:sectPr w:rsidR="00BF5B10">
          <w:headerReference w:type="default" r:id="rId19"/>
          <w:footerReference w:type="default" r:id="rId20"/>
          <w:pgSz w:w="11906" w:h="16838"/>
          <w:pgMar w:top="1984" w:right="1417" w:bottom="1417" w:left="1417" w:header="1417" w:footer="850" w:gutter="0"/>
          <w:cols w:space="720"/>
          <w:docGrid w:type="linesAndChars" w:linePitch="335" w:charSpace="200"/>
        </w:sectPr>
      </w:pPr>
      <w:r>
        <w:rPr>
          <w:rFonts w:ascii="新細明體" w:eastAsia="新細明體" w:hAnsi="新細明體" w:hint="eastAsia"/>
          <w:sz w:val="26"/>
          <w:szCs w:val="26"/>
        </w:rPr>
        <w:t>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基金管理條例修正草案對照表</w:t>
      </w:r>
      <w:r w:rsidR="00CA6EE9">
        <w:rPr>
          <w:rFonts w:ascii="新細明體" w:eastAsia="新細明體" w:hAnsi="新細明體" w:hint="eastAsia"/>
          <w:sz w:val="26"/>
          <w:szCs w:val="26"/>
        </w:rPr>
        <w:t>如後頁</w:t>
      </w:r>
    </w:p>
    <w:tbl>
      <w:tblPr>
        <w:tblStyle w:val="af1"/>
        <w:tblW w:w="0" w:type="auto"/>
        <w:tblLook w:val="04A0" w:firstRow="1" w:lastRow="0" w:firstColumn="1" w:lastColumn="0" w:noHBand="0" w:noVBand="1"/>
      </w:tblPr>
      <w:tblGrid>
        <w:gridCol w:w="3022"/>
        <w:gridCol w:w="3021"/>
        <w:gridCol w:w="3019"/>
      </w:tblGrid>
      <w:tr w:rsidR="00BF5B10" w:rsidTr="00B807BF">
        <w:trPr>
          <w:tblHeader/>
        </w:trPr>
        <w:tc>
          <w:tcPr>
            <w:tcW w:w="3022" w:type="dxa"/>
            <w:hideMark/>
          </w:tcPr>
          <w:p w:rsidR="00BF5B10" w:rsidRDefault="00E14273" w:rsidP="00E14273">
            <w:pPr>
              <w:pStyle w:val="a5"/>
              <w:ind w:left="120" w:right="120"/>
              <w:rPr>
                <w:rFonts w:ascii="新細明體" w:eastAsia="新細明體" w:hAnsi="新細明體"/>
                <w:sz w:val="26"/>
                <w:szCs w:val="26"/>
              </w:rPr>
            </w:pPr>
            <w:r>
              <w:rPr>
                <w:rFonts w:ascii="新細明體" w:eastAsia="新細明體" w:hAnsi="新細明體" w:hint="eastAsia"/>
                <w:sz w:val="26"/>
                <w:szCs w:val="26"/>
              </w:rPr>
              <w:lastRenderedPageBreak/>
              <w:t>修正條文</w:t>
            </w:r>
          </w:p>
        </w:tc>
        <w:tc>
          <w:tcPr>
            <w:tcW w:w="3021" w:type="dxa"/>
            <w:hideMark/>
          </w:tcPr>
          <w:p w:rsidR="00BF5B10" w:rsidRDefault="00BF5B10" w:rsidP="00E14273">
            <w:pPr>
              <w:pStyle w:val="a5"/>
              <w:ind w:left="120" w:right="120"/>
              <w:rPr>
                <w:rFonts w:ascii="新細明體" w:eastAsia="新細明體" w:hAnsi="新細明體"/>
                <w:sz w:val="26"/>
                <w:szCs w:val="26"/>
              </w:rPr>
            </w:pPr>
            <w:r>
              <w:rPr>
                <w:rFonts w:ascii="新細明體" w:eastAsia="新細明體" w:hAnsi="新細明體" w:hint="eastAsia"/>
                <w:sz w:val="26"/>
                <w:szCs w:val="26"/>
              </w:rPr>
              <w:t>現行</w:t>
            </w:r>
            <w:r w:rsidR="00E14273">
              <w:rPr>
                <w:rFonts w:ascii="新細明體" w:eastAsia="新細明體" w:hAnsi="新細明體" w:hint="eastAsia"/>
                <w:sz w:val="26"/>
                <w:szCs w:val="26"/>
              </w:rPr>
              <w:t>條文</w:t>
            </w:r>
          </w:p>
        </w:tc>
        <w:tc>
          <w:tcPr>
            <w:tcW w:w="3019" w:type="dxa"/>
            <w:hideMark/>
          </w:tcPr>
          <w:p w:rsidR="00BF5B10" w:rsidRDefault="00BF5B10">
            <w:pPr>
              <w:pStyle w:val="a5"/>
              <w:ind w:left="120" w:right="120"/>
              <w:rPr>
                <w:rFonts w:ascii="新細明體" w:eastAsia="新細明體" w:hAnsi="新細明體"/>
                <w:sz w:val="26"/>
                <w:szCs w:val="26"/>
              </w:rPr>
            </w:pPr>
            <w:r>
              <w:rPr>
                <w:rFonts w:ascii="新細明體" w:eastAsia="新細明體" w:hAnsi="新細明體" w:hint="eastAsia"/>
                <w:sz w:val="26"/>
                <w:szCs w:val="26"/>
              </w:rPr>
              <w:t>說明</w:t>
            </w:r>
          </w:p>
        </w:tc>
      </w:tr>
      <w:tr w:rsidR="00BF5B10" w:rsidTr="00B807BF">
        <w:tc>
          <w:tcPr>
            <w:tcW w:w="3022"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w:t>
            </w:r>
            <w:r>
              <w:rPr>
                <w:rFonts w:ascii="新細明體" w:eastAsia="新細明體" w:hAnsi="新細明體" w:hint="eastAsia"/>
                <w:sz w:val="26"/>
                <w:szCs w:val="26"/>
                <w:u w:val="single"/>
              </w:rPr>
              <w:t>監督</w:t>
            </w:r>
            <w:r>
              <w:rPr>
                <w:rFonts w:ascii="新細明體" w:eastAsia="新細明體" w:hAnsi="新細明體" w:hint="eastAsia"/>
                <w:sz w:val="26"/>
                <w:szCs w:val="26"/>
              </w:rPr>
              <w:t>管理條例</w:t>
            </w:r>
          </w:p>
        </w:tc>
        <w:tc>
          <w:tcPr>
            <w:tcW w:w="3021"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基金管理條例</w:t>
            </w:r>
          </w:p>
        </w:tc>
        <w:tc>
          <w:tcPr>
            <w:tcW w:w="3019"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變更條例名稱。</w:t>
            </w:r>
          </w:p>
        </w:tc>
      </w:tr>
      <w:tr w:rsidR="00BF5B10" w:rsidTr="00B807BF">
        <w:tc>
          <w:tcPr>
            <w:tcW w:w="302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第一條　（法源依據）</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為辦理公務人員退休撫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基金（以下簡稱本基金）</w:t>
            </w:r>
            <w:proofErr w:type="gramStart"/>
            <w:r>
              <w:rPr>
                <w:rFonts w:ascii="新細明體" w:eastAsia="新細明體" w:hAnsi="新細明體" w:hint="eastAsia"/>
                <w:sz w:val="26"/>
                <w:szCs w:val="26"/>
                <w:u w:val="single"/>
              </w:rPr>
              <w:t>之撥繳</w:t>
            </w:r>
            <w:proofErr w:type="gramEnd"/>
            <w:r>
              <w:rPr>
                <w:rFonts w:ascii="新細明體" w:eastAsia="新細明體" w:hAnsi="新細明體" w:hint="eastAsia"/>
                <w:sz w:val="26"/>
                <w:szCs w:val="26"/>
                <w:u w:val="single"/>
              </w:rPr>
              <w:t>、管理、運用及監督等事項</w:t>
            </w:r>
            <w:r>
              <w:rPr>
                <w:rFonts w:ascii="新細明體" w:eastAsia="新細明體" w:hAnsi="新細明體" w:hint="eastAsia"/>
                <w:sz w:val="26"/>
                <w:szCs w:val="26"/>
              </w:rPr>
              <w:t>，依公務人員退休法第八條第六項及公務人員撫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法第十五條第三項規定，制定之。</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公立學校教職員</w:t>
            </w:r>
            <w:r>
              <w:rPr>
                <w:rFonts w:ascii="新細明體" w:eastAsia="新細明體" w:hAnsi="新細明體" w:hint="eastAsia"/>
                <w:sz w:val="26"/>
                <w:szCs w:val="26"/>
              </w:rPr>
              <w:t>及軍職人員之退休（職）、（伍）撫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基金，併入本基金管理並</w:t>
            </w:r>
            <w:r>
              <w:rPr>
                <w:rFonts w:ascii="新細明體" w:eastAsia="新細明體" w:hAnsi="新細明體" w:hint="eastAsia"/>
                <w:sz w:val="26"/>
                <w:szCs w:val="26"/>
                <w:u w:val="single"/>
              </w:rPr>
              <w:t>監督之。</w:t>
            </w:r>
          </w:p>
        </w:tc>
        <w:tc>
          <w:tcPr>
            <w:tcW w:w="3021"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第一條　為辦理公務人員退休撫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基金（以下簡稱本基金）之收支、管理及運用等事項，依公務人員退休法第八條第六項及公務人員撫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法第十五條第三項規定，制定本條例。</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政務官、教育人員及軍職人員之退休（職）、（伍）撫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基金一併納入本基金管理。</w:t>
            </w:r>
          </w:p>
        </w:tc>
        <w:tc>
          <w:tcPr>
            <w:tcW w:w="3019"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將政務人員回歸政務人員退職撫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條例。</w:t>
            </w:r>
          </w:p>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教育人員定義為公立學校教師暨研究機構之研究人員。</w:t>
            </w:r>
          </w:p>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為使基金運作符合時效並檢討與各公共基金的管理監督機制，茲參考韓國年金團及我國勞退基金監督管理委員會之運作，將兩會合併。</w:t>
            </w:r>
          </w:p>
        </w:tc>
      </w:tr>
      <w:tr w:rsidR="00BF5B10" w:rsidTr="00B807BF">
        <w:tc>
          <w:tcPr>
            <w:tcW w:w="302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第二條　（監理會任務及組織條例法源）</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本基金設公務人員退休撫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基金監理委員會，負責辦理本基金</w:t>
            </w:r>
            <w:proofErr w:type="gramStart"/>
            <w:r>
              <w:rPr>
                <w:rFonts w:ascii="新細明體" w:eastAsia="新細明體" w:hAnsi="新細明體" w:hint="eastAsia"/>
                <w:sz w:val="26"/>
                <w:szCs w:val="26"/>
              </w:rPr>
              <w:t>之</w:t>
            </w:r>
            <w:r>
              <w:rPr>
                <w:rFonts w:ascii="新細明體" w:eastAsia="新細明體" w:hAnsi="新細明體" w:hint="eastAsia"/>
                <w:sz w:val="26"/>
                <w:szCs w:val="26"/>
                <w:u w:val="single"/>
              </w:rPr>
              <w:t>撥繳</w:t>
            </w:r>
            <w:proofErr w:type="gramEnd"/>
            <w:r>
              <w:rPr>
                <w:rFonts w:ascii="新細明體" w:eastAsia="新細明體" w:hAnsi="新細明體" w:hint="eastAsia"/>
                <w:sz w:val="26"/>
                <w:szCs w:val="26"/>
                <w:u w:val="single"/>
              </w:rPr>
              <w:t>、管理、運用及監督</w:t>
            </w:r>
            <w:r>
              <w:rPr>
                <w:rFonts w:ascii="新細明體" w:eastAsia="新細明體" w:hAnsi="新細明體" w:hint="eastAsia"/>
                <w:sz w:val="26"/>
                <w:szCs w:val="26"/>
              </w:rPr>
              <w:t>事項。</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委員會之組織條例，另以法律定之。</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本基金管理委員會之組織條例自民國○年○月○日起廢止，其原有人員、設備、資產納入監理委員會；原管理委員會對外合約權利義務自同日起由監理委員會</w:t>
            </w:r>
            <w:r>
              <w:rPr>
                <w:rFonts w:ascii="新細明體" w:eastAsia="新細明體" w:hAnsi="新細明體" w:hint="eastAsia"/>
                <w:sz w:val="26"/>
                <w:szCs w:val="26"/>
              </w:rPr>
              <w:t>（以下簡稱委員</w:t>
            </w:r>
            <w:r>
              <w:rPr>
                <w:rFonts w:ascii="新細明體" w:eastAsia="新細明體" w:hAnsi="新細明體" w:hint="eastAsia"/>
                <w:sz w:val="26"/>
                <w:szCs w:val="26"/>
              </w:rPr>
              <w:lastRenderedPageBreak/>
              <w:t>會）</w:t>
            </w:r>
            <w:r>
              <w:rPr>
                <w:rFonts w:ascii="新細明體" w:eastAsia="新細明體" w:hAnsi="新細明體" w:hint="eastAsia"/>
                <w:sz w:val="26"/>
                <w:szCs w:val="26"/>
                <w:u w:val="single"/>
              </w:rPr>
              <w:t>概括承受。</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本基金之運用得委託經營之。有關委託經營辦法由考試院會同行政院以命令定之。</w:t>
            </w:r>
          </w:p>
        </w:tc>
        <w:tc>
          <w:tcPr>
            <w:tcW w:w="3021"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第二條　本基金設公務人員退休撫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基金管理委員會負責基金之收支、管理及運用。</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本基金設公務人員退休撫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基金監理委員會負責基金之審議、監督及考核。</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本基金管理委員會及監理委員會之</w:t>
            </w:r>
            <w:proofErr w:type="gramStart"/>
            <w:r>
              <w:rPr>
                <w:rFonts w:ascii="新細明體" w:eastAsia="新細明體" w:hAnsi="新細明體" w:hint="eastAsia"/>
                <w:sz w:val="26"/>
                <w:szCs w:val="26"/>
              </w:rPr>
              <w:t>組織均另以</w:t>
            </w:r>
            <w:proofErr w:type="gramEnd"/>
            <w:r>
              <w:rPr>
                <w:rFonts w:ascii="新細明體" w:eastAsia="新細明體" w:hAnsi="新細明體" w:hint="eastAsia"/>
                <w:sz w:val="26"/>
                <w:szCs w:val="26"/>
              </w:rPr>
              <w:t>法律定之。</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本基金之運用得委託經營之。有關委託經營辦法由考試院會同行政院以命令定之。</w:t>
            </w:r>
          </w:p>
        </w:tc>
        <w:tc>
          <w:tcPr>
            <w:tcW w:w="3019"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一、將原來之「公務人員退休撫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基金管理委員會」及「公務人員退休撫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基金監理委員會」，二者合併為監理委員會。</w:t>
            </w:r>
          </w:p>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二、依據學校教職員退休條例第八條第七項、學校教職員撫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法第十六條第三項、公務人員退休法第八條第六項及公務人員撫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法第十五條第三項規定，訂定本監理會「</w:t>
            </w:r>
            <w:proofErr w:type="gramStart"/>
            <w:r>
              <w:rPr>
                <w:rFonts w:ascii="新細明體" w:eastAsia="新細明體" w:hAnsi="新細明體" w:hint="eastAsia"/>
                <w:sz w:val="26"/>
                <w:szCs w:val="26"/>
              </w:rPr>
              <w:t>撥繳</w:t>
            </w:r>
            <w:proofErr w:type="gramEnd"/>
            <w:r>
              <w:rPr>
                <w:rFonts w:ascii="新細明體" w:eastAsia="新細明體" w:hAnsi="新細明體" w:hint="eastAsia"/>
                <w:sz w:val="26"/>
                <w:szCs w:val="26"/>
              </w:rPr>
              <w:t>、管理、運用及監督」事項。</w:t>
            </w:r>
          </w:p>
        </w:tc>
      </w:tr>
      <w:tr w:rsidR="00BF5B10" w:rsidTr="00B807BF">
        <w:tc>
          <w:tcPr>
            <w:tcW w:w="302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第三條　（基金來源）</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本基金之來源如下：</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u w:val="single"/>
              </w:rPr>
              <w:t>一、各級政府或參加本基金人員服務機關（構）、學校</w:t>
            </w:r>
            <w:proofErr w:type="gramStart"/>
            <w:r>
              <w:rPr>
                <w:rFonts w:ascii="新細明體" w:eastAsia="新細明體" w:hAnsi="新細明體" w:hint="eastAsia"/>
                <w:sz w:val="26"/>
                <w:szCs w:val="26"/>
                <w:u w:val="single"/>
              </w:rPr>
              <w:t>依法撥繳之</w:t>
            </w:r>
            <w:proofErr w:type="gramEnd"/>
            <w:r>
              <w:rPr>
                <w:rFonts w:ascii="新細明體" w:eastAsia="新細明體" w:hAnsi="新細明體" w:hint="eastAsia"/>
                <w:sz w:val="26"/>
                <w:szCs w:val="26"/>
                <w:u w:val="single"/>
              </w:rPr>
              <w:t>款項。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u w:val="single"/>
              </w:rPr>
              <w:t>二、參加本基金人員依法自繳之款項。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u w:val="single"/>
              </w:rPr>
              <w:t>三、因本基金之運用、管理、處分、滅失、毀損或其他事由取得之收益或其他財產權。</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u w:val="single"/>
              </w:rPr>
              <w:t>四、經政府核定撥交之補助款項。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u w:val="single"/>
              </w:rPr>
              <w:t>五、依法或經政府核定辦理收支結算後應撥交本基金之不足款項。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u w:val="single"/>
              </w:rPr>
              <w:t>六、其他有關收入。</w:t>
            </w:r>
          </w:p>
        </w:tc>
        <w:tc>
          <w:tcPr>
            <w:tcW w:w="3021"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第三條　本基金之來源如下：</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一、各級政府</w:t>
            </w:r>
            <w:proofErr w:type="gramStart"/>
            <w:r>
              <w:rPr>
                <w:rFonts w:ascii="新細明體" w:eastAsia="新細明體" w:hAnsi="新細明體" w:hint="eastAsia"/>
                <w:sz w:val="26"/>
                <w:szCs w:val="26"/>
              </w:rPr>
              <w:t>依法撥繳之</w:t>
            </w:r>
            <w:proofErr w:type="gramEnd"/>
            <w:r>
              <w:rPr>
                <w:rFonts w:ascii="新細明體" w:eastAsia="新細明體" w:hAnsi="新細明體" w:hint="eastAsia"/>
                <w:sz w:val="26"/>
                <w:szCs w:val="26"/>
              </w:rPr>
              <w:t>費用。</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二、公務人員及第一條第二項所定人員依法自繳之費用。</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三、本基金之孳息收入及其運用之收益。</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四、經政府核定撥交之補助款項。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五、其他有關收入。</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前項第一款各級政府</w:t>
            </w:r>
            <w:proofErr w:type="gramStart"/>
            <w:r>
              <w:rPr>
                <w:rFonts w:ascii="新細明體" w:eastAsia="新細明體" w:hAnsi="新細明體" w:hint="eastAsia"/>
                <w:sz w:val="26"/>
                <w:szCs w:val="26"/>
              </w:rPr>
              <w:t>依法撥繳之</w:t>
            </w:r>
            <w:proofErr w:type="gramEnd"/>
            <w:r>
              <w:rPr>
                <w:rFonts w:ascii="新細明體" w:eastAsia="新細明體" w:hAnsi="新細明體" w:hint="eastAsia"/>
                <w:sz w:val="26"/>
                <w:szCs w:val="26"/>
              </w:rPr>
              <w:t>費用，應按年編列預算直接</w:t>
            </w:r>
            <w:proofErr w:type="gramStart"/>
            <w:r>
              <w:rPr>
                <w:rFonts w:ascii="新細明體" w:eastAsia="新細明體" w:hAnsi="新細明體" w:hint="eastAsia"/>
                <w:sz w:val="26"/>
                <w:szCs w:val="26"/>
              </w:rPr>
              <w:t>撥繳本</w:t>
            </w:r>
            <w:proofErr w:type="gramEnd"/>
            <w:r>
              <w:rPr>
                <w:rFonts w:ascii="新細明體" w:eastAsia="新細明體" w:hAnsi="新細明體" w:hint="eastAsia"/>
                <w:sz w:val="26"/>
                <w:szCs w:val="26"/>
              </w:rPr>
              <w:t>基金。第二款所定人員依法自繳之費用，應由各服務機關按月</w:t>
            </w:r>
            <w:proofErr w:type="gramStart"/>
            <w:r>
              <w:rPr>
                <w:rFonts w:ascii="新細明體" w:eastAsia="新細明體" w:hAnsi="新細明體" w:hint="eastAsia"/>
                <w:sz w:val="26"/>
                <w:szCs w:val="26"/>
              </w:rPr>
              <w:t>彙繳本</w:t>
            </w:r>
            <w:proofErr w:type="gramEnd"/>
            <w:r>
              <w:rPr>
                <w:rFonts w:ascii="新細明體" w:eastAsia="新細明體" w:hAnsi="新細明體" w:hint="eastAsia"/>
                <w:sz w:val="26"/>
                <w:szCs w:val="26"/>
              </w:rPr>
              <w:t>基金。</w:t>
            </w:r>
          </w:p>
        </w:tc>
        <w:tc>
          <w:tcPr>
            <w:tcW w:w="3019"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一、依軍、公、教及政務人員之退撫法律規定，基金費用由個人自繳百分之三十五，</w:t>
            </w:r>
            <w:proofErr w:type="gramStart"/>
            <w:r>
              <w:rPr>
                <w:rFonts w:ascii="新細明體" w:eastAsia="新細明體" w:hAnsi="新細明體" w:hint="eastAsia"/>
                <w:sz w:val="26"/>
                <w:szCs w:val="26"/>
              </w:rPr>
              <w:t>政府撥繳百分之六十五</w:t>
            </w:r>
            <w:proofErr w:type="gramEnd"/>
            <w:r>
              <w:rPr>
                <w:rFonts w:ascii="新細明體" w:eastAsia="新細明體" w:hAnsi="新細明體" w:hint="eastAsia"/>
                <w:sz w:val="26"/>
                <w:szCs w:val="26"/>
              </w:rPr>
              <w:t>，</w:t>
            </w:r>
            <w:proofErr w:type="gramStart"/>
            <w:r>
              <w:rPr>
                <w:rFonts w:ascii="新細明體" w:eastAsia="新細明體" w:hAnsi="新細明體" w:hint="eastAsia"/>
                <w:sz w:val="26"/>
                <w:szCs w:val="26"/>
              </w:rPr>
              <w:t>揆</w:t>
            </w:r>
            <w:proofErr w:type="gramEnd"/>
            <w:r>
              <w:rPr>
                <w:rFonts w:ascii="新細明體" w:eastAsia="新細明體" w:hAnsi="新細明體" w:hint="eastAsia"/>
                <w:sz w:val="26"/>
                <w:szCs w:val="26"/>
              </w:rPr>
              <w:t>其意旨乃政府基於雇主之身分，自應編列經費</w:t>
            </w:r>
            <w:proofErr w:type="gramStart"/>
            <w:r>
              <w:rPr>
                <w:rFonts w:ascii="新細明體" w:eastAsia="新細明體" w:hAnsi="新細明體" w:hint="eastAsia"/>
                <w:sz w:val="26"/>
                <w:szCs w:val="26"/>
              </w:rPr>
              <w:t>負責撥繳該</w:t>
            </w:r>
            <w:proofErr w:type="gramEnd"/>
            <w:r>
              <w:rPr>
                <w:rFonts w:ascii="新細明體" w:eastAsia="新細明體" w:hAnsi="新細明體" w:hint="eastAsia"/>
                <w:sz w:val="26"/>
                <w:szCs w:val="26"/>
              </w:rPr>
              <w:t>部分之基金費用，惟事業機構設有營運基金，部分機關（構）亦設有作業基金，屬自給自足性質，其人事</w:t>
            </w:r>
            <w:proofErr w:type="gramStart"/>
            <w:r>
              <w:rPr>
                <w:rFonts w:ascii="新細明體" w:eastAsia="新細明體" w:hAnsi="新細明體" w:hint="eastAsia"/>
                <w:sz w:val="26"/>
                <w:szCs w:val="26"/>
              </w:rPr>
              <w:t>經費均由其</w:t>
            </w:r>
            <w:proofErr w:type="gramEnd"/>
            <w:r>
              <w:rPr>
                <w:rFonts w:ascii="新細明體" w:eastAsia="新細明體" w:hAnsi="新細明體" w:hint="eastAsia"/>
                <w:sz w:val="26"/>
                <w:szCs w:val="26"/>
              </w:rPr>
              <w:t>營運或作業基金負擔，而非由政府負擔，故其所屬人員參加退撫基金者，上開百分之六十五之基金費用，亦應由該服務機關（構）負擔，另為免對「費用」一詞產生誤解，將「費用」一詞修正為「款項」以資明確，</w:t>
            </w:r>
            <w:proofErr w:type="gramStart"/>
            <w:r>
              <w:rPr>
                <w:rFonts w:ascii="新細明體" w:eastAsia="新細明體" w:hAnsi="新細明體" w:hint="eastAsia"/>
                <w:sz w:val="26"/>
                <w:szCs w:val="26"/>
              </w:rPr>
              <w:t>爰</w:t>
            </w:r>
            <w:proofErr w:type="gramEnd"/>
            <w:r>
              <w:rPr>
                <w:rFonts w:ascii="新細明體" w:eastAsia="新細明體" w:hAnsi="新細明體" w:hint="eastAsia"/>
                <w:sz w:val="26"/>
                <w:szCs w:val="26"/>
              </w:rPr>
              <w:t>將第一款修正為「各級政府或參加本基金人員服務機關（構）、學校</w:t>
            </w:r>
            <w:proofErr w:type="gramStart"/>
            <w:r>
              <w:rPr>
                <w:rFonts w:ascii="新細明體" w:eastAsia="新細明體" w:hAnsi="新細明體" w:hint="eastAsia"/>
                <w:sz w:val="26"/>
                <w:szCs w:val="26"/>
              </w:rPr>
              <w:t>依法撥繳之</w:t>
            </w:r>
            <w:proofErr w:type="gramEnd"/>
            <w:r>
              <w:rPr>
                <w:rFonts w:ascii="新細明體" w:eastAsia="新細明體" w:hAnsi="新細明體" w:hint="eastAsia"/>
                <w:sz w:val="26"/>
                <w:szCs w:val="26"/>
              </w:rPr>
              <w:t>款項」，以</w:t>
            </w:r>
            <w:proofErr w:type="gramStart"/>
            <w:r>
              <w:rPr>
                <w:rFonts w:ascii="新細明體" w:eastAsia="新細明體" w:hAnsi="新細明體" w:hint="eastAsia"/>
                <w:sz w:val="26"/>
                <w:szCs w:val="26"/>
              </w:rPr>
              <w:t>釐</w:t>
            </w:r>
            <w:proofErr w:type="gramEnd"/>
            <w:r>
              <w:rPr>
                <w:rFonts w:ascii="新細明體" w:eastAsia="新細明體" w:hAnsi="新細明體" w:hint="eastAsia"/>
                <w:sz w:val="26"/>
                <w:szCs w:val="26"/>
              </w:rPr>
              <w:t>清退撫責任。</w:t>
            </w:r>
          </w:p>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二、為簡化</w:t>
            </w:r>
            <w:proofErr w:type="gramStart"/>
            <w:r>
              <w:rPr>
                <w:rFonts w:ascii="新細明體" w:eastAsia="新細明體" w:hAnsi="新細明體" w:hint="eastAsia"/>
                <w:sz w:val="26"/>
                <w:szCs w:val="26"/>
              </w:rPr>
              <w:t>用字且做</w:t>
            </w:r>
            <w:proofErr w:type="gramEnd"/>
            <w:r>
              <w:rPr>
                <w:rFonts w:ascii="新細明體" w:eastAsia="新細明體" w:hAnsi="新細明體" w:hint="eastAsia"/>
                <w:sz w:val="26"/>
                <w:szCs w:val="26"/>
              </w:rPr>
              <w:lastRenderedPageBreak/>
              <w:t>較彈性概括之規定，將第二款「公務人員及第一條第二項所定人員」配合修正條文第二條第四項規定，修正為「參加本基金人員」，將來</w:t>
            </w:r>
            <w:proofErr w:type="gramStart"/>
            <w:r>
              <w:rPr>
                <w:rFonts w:ascii="新細明體" w:eastAsia="新細明體" w:hAnsi="新細明體" w:hint="eastAsia"/>
                <w:sz w:val="26"/>
                <w:szCs w:val="26"/>
              </w:rPr>
              <w:t>無論何類人員</w:t>
            </w:r>
            <w:proofErr w:type="gramEnd"/>
            <w:r>
              <w:rPr>
                <w:rFonts w:ascii="新細明體" w:eastAsia="新細明體" w:hAnsi="新細明體" w:hint="eastAsia"/>
                <w:sz w:val="26"/>
                <w:szCs w:val="26"/>
              </w:rPr>
              <w:t>再加入本基金均可適用，並將「費用」一詞修正為「款項」。</w:t>
            </w:r>
          </w:p>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三、信託法第九條第二項規定「受託人因信託財產之管理、處分、滅失、毀損或其他事由取得之財產權，仍屬信託財產。」，</w:t>
            </w:r>
            <w:proofErr w:type="gramStart"/>
            <w:r>
              <w:rPr>
                <w:rFonts w:ascii="新細明體" w:eastAsia="新細明體" w:hAnsi="新細明體" w:hint="eastAsia"/>
                <w:sz w:val="26"/>
                <w:szCs w:val="26"/>
              </w:rPr>
              <w:t>爰</w:t>
            </w:r>
            <w:proofErr w:type="gramEnd"/>
            <w:r>
              <w:rPr>
                <w:rFonts w:ascii="新細明體" w:eastAsia="新細明體" w:hAnsi="新細明體" w:hint="eastAsia"/>
                <w:sz w:val="26"/>
                <w:szCs w:val="26"/>
              </w:rPr>
              <w:t>參酌修正現行條文第三款，使基金來源不限於孳息收入及運用之收益，且</w:t>
            </w:r>
            <w:proofErr w:type="gramStart"/>
            <w:r>
              <w:rPr>
                <w:rFonts w:ascii="新細明體" w:eastAsia="新細明體" w:hAnsi="新細明體" w:hint="eastAsia"/>
                <w:sz w:val="26"/>
                <w:szCs w:val="26"/>
              </w:rPr>
              <w:t>包括因滅失</w:t>
            </w:r>
            <w:proofErr w:type="gramEnd"/>
            <w:r>
              <w:rPr>
                <w:rFonts w:ascii="新細明體" w:eastAsia="新細明體" w:hAnsi="新細明體" w:hint="eastAsia"/>
                <w:sz w:val="26"/>
                <w:szCs w:val="26"/>
              </w:rPr>
              <w:t>、毀損或其他事由取得之財產權，較為周妥。</w:t>
            </w:r>
          </w:p>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四、由於公營事業移轉民營條例第九條增定，事業機關所繳納之基金及孳息，扣除各項支出仍有不足數額，應撥交基金管理會，係屬於本基金之來源，加以未來各機關之作業基金將來亦有可能辦理收支結算，故於第五款增訂相關之來源事項，以資周延。</w:t>
            </w:r>
          </w:p>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五、現行條文第二項</w:t>
            </w:r>
            <w:r>
              <w:rPr>
                <w:rFonts w:ascii="新細明體" w:eastAsia="新細明體" w:hAnsi="新細明體" w:hint="eastAsia"/>
                <w:sz w:val="26"/>
                <w:szCs w:val="26"/>
              </w:rPr>
              <w:lastRenderedPageBreak/>
              <w:t>有關各級政府</w:t>
            </w:r>
            <w:proofErr w:type="gramStart"/>
            <w:r>
              <w:rPr>
                <w:rFonts w:ascii="新細明體" w:eastAsia="新細明體" w:hAnsi="新細明體" w:hint="eastAsia"/>
                <w:sz w:val="26"/>
                <w:szCs w:val="26"/>
              </w:rPr>
              <w:t>依法撥繳之</w:t>
            </w:r>
            <w:proofErr w:type="gramEnd"/>
            <w:r>
              <w:rPr>
                <w:rFonts w:ascii="新細明體" w:eastAsia="新細明體" w:hAnsi="新細明體" w:hint="eastAsia"/>
                <w:sz w:val="26"/>
                <w:szCs w:val="26"/>
              </w:rPr>
              <w:t>款項，應按年編列預算及有關</w:t>
            </w:r>
            <w:proofErr w:type="gramStart"/>
            <w:r>
              <w:rPr>
                <w:rFonts w:ascii="新細明體" w:eastAsia="新細明體" w:hAnsi="新細明體" w:hint="eastAsia"/>
                <w:sz w:val="26"/>
                <w:szCs w:val="26"/>
              </w:rPr>
              <w:t>款項撥繳之</w:t>
            </w:r>
            <w:proofErr w:type="gramEnd"/>
            <w:r>
              <w:rPr>
                <w:rFonts w:ascii="新細明體" w:eastAsia="新細明體" w:hAnsi="新細明體" w:hint="eastAsia"/>
                <w:sz w:val="26"/>
                <w:szCs w:val="26"/>
              </w:rPr>
              <w:t>規定，參加本基金人員之退撫</w:t>
            </w:r>
            <w:proofErr w:type="gramStart"/>
            <w:r>
              <w:rPr>
                <w:rFonts w:ascii="新細明體" w:eastAsia="新細明體" w:hAnsi="新細明體" w:hint="eastAsia"/>
                <w:sz w:val="26"/>
                <w:szCs w:val="26"/>
              </w:rPr>
              <w:t>法令均已有</w:t>
            </w:r>
            <w:proofErr w:type="gramEnd"/>
            <w:r>
              <w:rPr>
                <w:rFonts w:ascii="新細明體" w:eastAsia="新細明體" w:hAnsi="新細明體" w:hint="eastAsia"/>
                <w:sz w:val="26"/>
                <w:szCs w:val="26"/>
              </w:rPr>
              <w:t>明文規定，</w:t>
            </w:r>
            <w:proofErr w:type="gramStart"/>
            <w:r>
              <w:rPr>
                <w:rFonts w:ascii="新細明體" w:eastAsia="新細明體" w:hAnsi="新細明體" w:hint="eastAsia"/>
                <w:sz w:val="26"/>
                <w:szCs w:val="26"/>
              </w:rPr>
              <w:t>爰</w:t>
            </w:r>
            <w:proofErr w:type="gramEnd"/>
            <w:r>
              <w:rPr>
                <w:rFonts w:ascii="新細明體" w:eastAsia="新細明體" w:hAnsi="新細明體" w:hint="eastAsia"/>
                <w:sz w:val="26"/>
                <w:szCs w:val="26"/>
              </w:rPr>
              <w:t>將本條第二項予以全項刪除，讓本條純粹規定有關本基金之來源事項。</w:t>
            </w:r>
          </w:p>
        </w:tc>
      </w:tr>
      <w:tr w:rsidR="00BF5B10" w:rsidTr="00B807BF">
        <w:tc>
          <w:tcPr>
            <w:tcW w:w="302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u w:val="single"/>
              </w:rPr>
              <w:lastRenderedPageBreak/>
              <w:t>第四條</w:t>
            </w:r>
            <w:r>
              <w:rPr>
                <w:rFonts w:ascii="新細明體" w:eastAsia="新細明體" w:hAnsi="新細明體" w:hint="eastAsia"/>
                <w:sz w:val="26"/>
                <w:szCs w:val="26"/>
              </w:rPr>
              <w:t xml:space="preserve">　</w:t>
            </w:r>
            <w:r>
              <w:rPr>
                <w:rFonts w:ascii="新細明體" w:eastAsia="新細明體" w:hAnsi="新細明體" w:hint="eastAsia"/>
                <w:sz w:val="26"/>
                <w:szCs w:val="26"/>
                <w:u w:val="single"/>
              </w:rPr>
              <w:t>參加本基金人員與政府或服務機關（構）、學校，依法應按月</w:t>
            </w:r>
            <w:proofErr w:type="gramStart"/>
            <w:r>
              <w:rPr>
                <w:rFonts w:ascii="新細明體" w:eastAsia="新細明體" w:hAnsi="新細明體" w:hint="eastAsia"/>
                <w:sz w:val="26"/>
                <w:szCs w:val="26"/>
                <w:u w:val="single"/>
              </w:rPr>
              <w:t>共同撥繳之</w:t>
            </w:r>
            <w:proofErr w:type="gramEnd"/>
            <w:r>
              <w:rPr>
                <w:rFonts w:ascii="新細明體" w:eastAsia="新細明體" w:hAnsi="新細明體" w:hint="eastAsia"/>
                <w:sz w:val="26"/>
                <w:szCs w:val="26"/>
                <w:u w:val="single"/>
              </w:rPr>
              <w:t>款項，每月</w:t>
            </w:r>
            <w:proofErr w:type="gramStart"/>
            <w:r>
              <w:rPr>
                <w:rFonts w:ascii="新細明體" w:eastAsia="新細明體" w:hAnsi="新細明體" w:hint="eastAsia"/>
                <w:sz w:val="26"/>
                <w:szCs w:val="26"/>
                <w:u w:val="single"/>
              </w:rPr>
              <w:t>均應整</w:t>
            </w:r>
            <w:proofErr w:type="gramEnd"/>
            <w:r>
              <w:rPr>
                <w:rFonts w:ascii="新細明體" w:eastAsia="新細明體" w:hAnsi="新細明體" w:hint="eastAsia"/>
                <w:sz w:val="26"/>
                <w:szCs w:val="26"/>
                <w:u w:val="single"/>
              </w:rPr>
              <w:t>月繳納，並由參加本基金人員之服務機關（構）、學校，於當月十五</w:t>
            </w:r>
            <w:proofErr w:type="gramStart"/>
            <w:r>
              <w:rPr>
                <w:rFonts w:ascii="新細明體" w:eastAsia="新細明體" w:hAnsi="新細明體" w:hint="eastAsia"/>
                <w:sz w:val="26"/>
                <w:szCs w:val="26"/>
                <w:u w:val="single"/>
              </w:rPr>
              <w:t>日前彙繳基金</w:t>
            </w:r>
            <w:proofErr w:type="gramEnd"/>
            <w:r>
              <w:rPr>
                <w:rFonts w:ascii="新細明體" w:eastAsia="新細明體" w:hAnsi="新細明體" w:hint="eastAsia"/>
                <w:sz w:val="26"/>
                <w:szCs w:val="26"/>
                <w:u w:val="single"/>
              </w:rPr>
              <w:t>管理會委託辦理之金融機構，如遇每週例假日、國定假日或其他</w:t>
            </w:r>
            <w:proofErr w:type="gramStart"/>
            <w:r>
              <w:rPr>
                <w:rFonts w:ascii="新細明體" w:eastAsia="新細明體" w:hAnsi="新細明體" w:hint="eastAsia"/>
                <w:sz w:val="26"/>
                <w:szCs w:val="26"/>
                <w:u w:val="single"/>
              </w:rPr>
              <w:t>休息日者順延</w:t>
            </w:r>
            <w:proofErr w:type="gramEnd"/>
            <w:r>
              <w:rPr>
                <w:rFonts w:ascii="新細明體" w:eastAsia="新細明體" w:hAnsi="新細明體" w:hint="eastAsia"/>
                <w:sz w:val="26"/>
                <w:szCs w:val="26"/>
                <w:u w:val="single"/>
              </w:rPr>
              <w:t>至次日。</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參加本基金人員之服務機關（構）、學校未依前項規定期限彙繳款項者，基金管理會得函請該機關（構）、學校限期檢討督促</w:t>
            </w:r>
            <w:proofErr w:type="gramStart"/>
            <w:r>
              <w:rPr>
                <w:rFonts w:ascii="新細明體" w:eastAsia="新細明體" w:hAnsi="新細明體" w:hint="eastAsia"/>
                <w:sz w:val="26"/>
                <w:szCs w:val="26"/>
                <w:u w:val="single"/>
              </w:rPr>
              <w:t>改善或議處</w:t>
            </w:r>
            <w:proofErr w:type="gramEnd"/>
            <w:r>
              <w:rPr>
                <w:rFonts w:ascii="新細明體" w:eastAsia="新細明體" w:hAnsi="新細明體" w:hint="eastAsia"/>
                <w:sz w:val="26"/>
                <w:szCs w:val="26"/>
                <w:u w:val="single"/>
              </w:rPr>
              <w:t>相關失職人員。</w:t>
            </w:r>
          </w:p>
        </w:tc>
        <w:tc>
          <w:tcPr>
            <w:tcW w:w="3021" w:type="dxa"/>
          </w:tcPr>
          <w:p w:rsidR="00BF5B10" w:rsidRDefault="00BF5B10">
            <w:pPr>
              <w:spacing w:line="315" w:lineRule="exact"/>
              <w:ind w:leftChars="50" w:left="120" w:rightChars="50" w:right="120"/>
              <w:rPr>
                <w:rFonts w:ascii="新細明體" w:eastAsia="新細明體" w:hAnsi="新細明體"/>
                <w:sz w:val="26"/>
                <w:szCs w:val="26"/>
              </w:rPr>
            </w:pPr>
          </w:p>
        </w:tc>
        <w:tc>
          <w:tcPr>
            <w:tcW w:w="3019"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一、</w:t>
            </w:r>
            <w:r>
              <w:rPr>
                <w:rFonts w:ascii="新細明體" w:eastAsia="新細明體" w:hAnsi="新細明體" w:hint="eastAsia"/>
                <w:sz w:val="26"/>
                <w:szCs w:val="26"/>
                <w:u w:val="single"/>
              </w:rPr>
              <w:t>本條新增</w:t>
            </w:r>
            <w:r>
              <w:rPr>
                <w:rFonts w:ascii="新細明體" w:eastAsia="新細明體" w:hAnsi="新細明體" w:hint="eastAsia"/>
                <w:sz w:val="26"/>
                <w:szCs w:val="26"/>
              </w:rPr>
              <w:t>。</w:t>
            </w:r>
          </w:p>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二、依現行本條例施行細則第十三條規定：「（第一項）各機關公立學校軍事單位應</w:t>
            </w:r>
            <w:proofErr w:type="gramStart"/>
            <w:r>
              <w:rPr>
                <w:rFonts w:ascii="新細明體" w:eastAsia="新細明體" w:hAnsi="新細明體" w:hint="eastAsia"/>
                <w:sz w:val="26"/>
                <w:szCs w:val="26"/>
              </w:rPr>
              <w:t>按月撥繳之</w:t>
            </w:r>
            <w:proofErr w:type="gramEnd"/>
            <w:r>
              <w:rPr>
                <w:rFonts w:ascii="新細明體" w:eastAsia="新細明體" w:hAnsi="新細明體" w:hint="eastAsia"/>
                <w:sz w:val="26"/>
                <w:szCs w:val="26"/>
              </w:rPr>
              <w:t>基金費用，於當月十五</w:t>
            </w:r>
            <w:proofErr w:type="gramStart"/>
            <w:r>
              <w:rPr>
                <w:rFonts w:ascii="新細明體" w:eastAsia="新細明體" w:hAnsi="新細明體" w:hint="eastAsia"/>
                <w:sz w:val="26"/>
                <w:szCs w:val="26"/>
              </w:rPr>
              <w:t>日前彙繳基金</w:t>
            </w:r>
            <w:proofErr w:type="gramEnd"/>
            <w:r>
              <w:rPr>
                <w:rFonts w:ascii="新細明體" w:eastAsia="新細明體" w:hAnsi="新細明體" w:hint="eastAsia"/>
                <w:sz w:val="26"/>
                <w:szCs w:val="26"/>
              </w:rPr>
              <w:t>管理會委託辦理之金融機構，如遇星期日及例假順延之。逾期未繳，致參加本基金人員或其遺族權益受損時，由服務機關學校軍事單位負責。（第二項）基金管理會應</w:t>
            </w:r>
            <w:proofErr w:type="gramStart"/>
            <w:r>
              <w:rPr>
                <w:rFonts w:ascii="新細明體" w:eastAsia="新細明體" w:hAnsi="新細明體" w:hint="eastAsia"/>
                <w:sz w:val="26"/>
                <w:szCs w:val="26"/>
              </w:rPr>
              <w:t>俟</w:t>
            </w:r>
            <w:proofErr w:type="gramEnd"/>
            <w:r>
              <w:rPr>
                <w:rFonts w:ascii="新細明體" w:eastAsia="新細明體" w:hAnsi="新細明體" w:hint="eastAsia"/>
                <w:sz w:val="26"/>
                <w:szCs w:val="26"/>
              </w:rPr>
              <w:t>本基金費用繳清後，始予辦理各項給與。（第三項）參加本基金人員如逾期繳付基金費用，其未繳費之年資，應按相同等級人員繳費標準換算複利終值之總和一次繳付，始予辦理各項給與。」</w:t>
            </w:r>
            <w:proofErr w:type="gramStart"/>
            <w:r>
              <w:rPr>
                <w:rFonts w:ascii="新細明體" w:eastAsia="新細明體" w:hAnsi="新細明體" w:hint="eastAsia"/>
                <w:sz w:val="26"/>
                <w:szCs w:val="26"/>
              </w:rPr>
              <w:t>玆</w:t>
            </w:r>
            <w:proofErr w:type="gramEnd"/>
            <w:r>
              <w:rPr>
                <w:rFonts w:ascii="新細明體" w:eastAsia="新細明體" w:hAnsi="新細明體" w:hint="eastAsia"/>
                <w:sz w:val="26"/>
                <w:szCs w:val="26"/>
              </w:rPr>
              <w:t>以上述規定屬涉及參加本基金人員之</w:t>
            </w:r>
            <w:r>
              <w:rPr>
                <w:rFonts w:ascii="新細明體" w:eastAsia="新細明體" w:hAnsi="新細明體" w:hint="eastAsia"/>
                <w:sz w:val="26"/>
                <w:szCs w:val="26"/>
              </w:rPr>
              <w:lastRenderedPageBreak/>
              <w:t>權利義務事項，應以法律定之，</w:t>
            </w:r>
            <w:proofErr w:type="gramStart"/>
            <w:r>
              <w:rPr>
                <w:rFonts w:ascii="新細明體" w:eastAsia="新細明體" w:hAnsi="新細明體" w:hint="eastAsia"/>
                <w:sz w:val="26"/>
                <w:szCs w:val="26"/>
              </w:rPr>
              <w:t>爰</w:t>
            </w:r>
            <w:proofErr w:type="gramEnd"/>
            <w:r>
              <w:rPr>
                <w:rFonts w:ascii="新細明體" w:eastAsia="新細明體" w:hAnsi="新細明體" w:hint="eastAsia"/>
                <w:sz w:val="26"/>
                <w:szCs w:val="26"/>
              </w:rPr>
              <w:t>改定於本條例第四條及第五條。本條係提升施行細則第一項前段規定，並作以下增修：配合修正條文</w:t>
            </w:r>
            <w:proofErr w:type="gramStart"/>
            <w:r>
              <w:rPr>
                <w:rFonts w:ascii="新細明體" w:eastAsia="新細明體" w:hAnsi="新細明體" w:hint="eastAsia"/>
                <w:sz w:val="26"/>
                <w:szCs w:val="26"/>
              </w:rPr>
              <w:t>第三條用字</w:t>
            </w:r>
            <w:proofErr w:type="gramEnd"/>
            <w:r>
              <w:rPr>
                <w:rFonts w:ascii="新細明體" w:eastAsia="新細明體" w:hAnsi="新細明體" w:hint="eastAsia"/>
                <w:sz w:val="26"/>
                <w:szCs w:val="26"/>
              </w:rPr>
              <w:t>修正為「參加本基金人員與政府或服務機關（構）、學校，依法應按月</w:t>
            </w:r>
            <w:proofErr w:type="gramStart"/>
            <w:r>
              <w:rPr>
                <w:rFonts w:ascii="新細明體" w:eastAsia="新細明體" w:hAnsi="新細明體" w:hint="eastAsia"/>
                <w:sz w:val="26"/>
                <w:szCs w:val="26"/>
              </w:rPr>
              <w:t>共同撥繳之</w:t>
            </w:r>
            <w:proofErr w:type="gramEnd"/>
            <w:r>
              <w:rPr>
                <w:rFonts w:ascii="新細明體" w:eastAsia="新細明體" w:hAnsi="新細明體" w:hint="eastAsia"/>
                <w:sz w:val="26"/>
                <w:szCs w:val="26"/>
              </w:rPr>
              <w:t>款項」至於前開施行細則第十三條第一項後段及第二、三項改訂於修正條文第五條第一、二項。</w:t>
            </w:r>
          </w:p>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三、由於參加本基金人員退撫年資之計算，依參加本基金人員相關退撫法令規定，</w:t>
            </w:r>
            <w:proofErr w:type="gramStart"/>
            <w:r>
              <w:rPr>
                <w:rFonts w:ascii="新細明體" w:eastAsia="新細明體" w:hAnsi="新細明體" w:hint="eastAsia"/>
                <w:sz w:val="26"/>
                <w:szCs w:val="26"/>
              </w:rPr>
              <w:t>均以整</w:t>
            </w:r>
            <w:proofErr w:type="gramEnd"/>
            <w:r>
              <w:rPr>
                <w:rFonts w:ascii="新細明體" w:eastAsia="新細明體" w:hAnsi="新細明體" w:hint="eastAsia"/>
                <w:sz w:val="26"/>
                <w:szCs w:val="26"/>
              </w:rPr>
              <w:t>月計算，故於月中加入或退出本基金者，其當月應繳之款項</w:t>
            </w:r>
            <w:proofErr w:type="gramStart"/>
            <w:r>
              <w:rPr>
                <w:rFonts w:ascii="新細明體" w:eastAsia="新細明體" w:hAnsi="新細明體" w:hint="eastAsia"/>
                <w:sz w:val="26"/>
                <w:szCs w:val="26"/>
              </w:rPr>
              <w:t>亦應整月</w:t>
            </w:r>
            <w:proofErr w:type="gramEnd"/>
            <w:r>
              <w:rPr>
                <w:rFonts w:ascii="新細明體" w:eastAsia="新細明體" w:hAnsi="新細明體" w:hint="eastAsia"/>
                <w:sz w:val="26"/>
                <w:szCs w:val="26"/>
              </w:rPr>
              <w:t>繳納，始符合繳費義務與給與權利平衡之原則。</w:t>
            </w:r>
            <w:proofErr w:type="gramStart"/>
            <w:r>
              <w:rPr>
                <w:rFonts w:ascii="新細明體" w:eastAsia="新細明體" w:hAnsi="新細明體" w:hint="eastAsia"/>
                <w:sz w:val="26"/>
                <w:szCs w:val="26"/>
              </w:rPr>
              <w:t>爰</w:t>
            </w:r>
            <w:proofErr w:type="gramEnd"/>
            <w:r>
              <w:rPr>
                <w:rFonts w:ascii="新細明體" w:eastAsia="新細明體" w:hAnsi="新細明體" w:hint="eastAsia"/>
                <w:sz w:val="26"/>
                <w:szCs w:val="26"/>
              </w:rPr>
              <w:t>於本條中段增訂，依法應按月</w:t>
            </w:r>
            <w:proofErr w:type="gramStart"/>
            <w:r>
              <w:rPr>
                <w:rFonts w:ascii="新細明體" w:eastAsia="新細明體" w:hAnsi="新細明體" w:hint="eastAsia"/>
                <w:sz w:val="26"/>
                <w:szCs w:val="26"/>
              </w:rPr>
              <w:t>共同撥繳之</w:t>
            </w:r>
            <w:proofErr w:type="gramEnd"/>
            <w:r>
              <w:rPr>
                <w:rFonts w:ascii="新細明體" w:eastAsia="新細明體" w:hAnsi="新細明體" w:hint="eastAsia"/>
                <w:sz w:val="26"/>
                <w:szCs w:val="26"/>
              </w:rPr>
              <w:t>款項，每月</w:t>
            </w:r>
            <w:proofErr w:type="gramStart"/>
            <w:r>
              <w:rPr>
                <w:rFonts w:ascii="新細明體" w:eastAsia="新細明體" w:hAnsi="新細明體" w:hint="eastAsia"/>
                <w:sz w:val="26"/>
                <w:szCs w:val="26"/>
              </w:rPr>
              <w:t>均應整</w:t>
            </w:r>
            <w:proofErr w:type="gramEnd"/>
            <w:r>
              <w:rPr>
                <w:rFonts w:ascii="新細明體" w:eastAsia="新細明體" w:hAnsi="新細明體" w:hint="eastAsia"/>
                <w:sz w:val="26"/>
                <w:szCs w:val="26"/>
              </w:rPr>
              <w:t>月繳納。</w:t>
            </w:r>
          </w:p>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四、</w:t>
            </w:r>
            <w:proofErr w:type="gramStart"/>
            <w:r>
              <w:rPr>
                <w:rFonts w:ascii="新細明體" w:eastAsia="新細明體" w:hAnsi="新細明體" w:hint="eastAsia"/>
                <w:sz w:val="26"/>
                <w:szCs w:val="26"/>
              </w:rPr>
              <w:t>此外，</w:t>
            </w:r>
            <w:proofErr w:type="gramEnd"/>
            <w:r>
              <w:rPr>
                <w:rFonts w:ascii="新細明體" w:eastAsia="新細明體" w:hAnsi="新細明體" w:hint="eastAsia"/>
                <w:sz w:val="26"/>
                <w:szCs w:val="26"/>
              </w:rPr>
              <w:t>參考公務人員服務法第十一條及行政程序法第四十八條第四項之規定，將原「如遇星期日及例假順延之。」等字，修正</w:t>
            </w:r>
            <w:r>
              <w:rPr>
                <w:rFonts w:ascii="新細明體" w:eastAsia="新細明體" w:hAnsi="新細明體" w:hint="eastAsia"/>
                <w:sz w:val="26"/>
                <w:szCs w:val="26"/>
              </w:rPr>
              <w:lastRenderedPageBreak/>
              <w:t>為「如遇每週例假日、國定假日或其他</w:t>
            </w:r>
            <w:proofErr w:type="gramStart"/>
            <w:r>
              <w:rPr>
                <w:rFonts w:ascii="新細明體" w:eastAsia="新細明體" w:hAnsi="新細明體" w:hint="eastAsia"/>
                <w:sz w:val="26"/>
                <w:szCs w:val="26"/>
              </w:rPr>
              <w:t>休息日者順延</w:t>
            </w:r>
            <w:proofErr w:type="gramEnd"/>
            <w:r>
              <w:rPr>
                <w:rFonts w:ascii="新細明體" w:eastAsia="新細明體" w:hAnsi="新細明體" w:hint="eastAsia"/>
                <w:sz w:val="26"/>
                <w:szCs w:val="26"/>
              </w:rPr>
              <w:t>至次日。」，以資明確。</w:t>
            </w:r>
          </w:p>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五、為使應繳款項能按時順利收繳以保障全體參加基金人員之權益，</w:t>
            </w:r>
            <w:proofErr w:type="gramStart"/>
            <w:r>
              <w:rPr>
                <w:rFonts w:ascii="新細明體" w:eastAsia="新細明體" w:hAnsi="新細明體" w:hint="eastAsia"/>
                <w:sz w:val="26"/>
                <w:szCs w:val="26"/>
              </w:rPr>
              <w:t>爰</w:t>
            </w:r>
            <w:proofErr w:type="gramEnd"/>
            <w:r>
              <w:rPr>
                <w:rFonts w:ascii="新細明體" w:eastAsia="新細明體" w:hAnsi="新細明體" w:hint="eastAsia"/>
                <w:sz w:val="26"/>
                <w:szCs w:val="26"/>
              </w:rPr>
              <w:t>於本條第二項增定，對於逾期繳納款項之機關（構）、學校基金管理會得函請該機關（構）、學校限期檢討督促</w:t>
            </w:r>
            <w:proofErr w:type="gramStart"/>
            <w:r>
              <w:rPr>
                <w:rFonts w:ascii="新細明體" w:eastAsia="新細明體" w:hAnsi="新細明體" w:hint="eastAsia"/>
                <w:sz w:val="26"/>
                <w:szCs w:val="26"/>
              </w:rPr>
              <w:t>改善或議處</w:t>
            </w:r>
            <w:proofErr w:type="gramEnd"/>
            <w:r>
              <w:rPr>
                <w:rFonts w:ascii="新細明體" w:eastAsia="新細明體" w:hAnsi="新細明體" w:hint="eastAsia"/>
                <w:sz w:val="26"/>
                <w:szCs w:val="26"/>
              </w:rPr>
              <w:t>相關失職人員，以促使機關承辦人員依限儘速繳費。</w:t>
            </w:r>
          </w:p>
        </w:tc>
      </w:tr>
      <w:tr w:rsidR="00BF5B10" w:rsidTr="00B807BF">
        <w:tc>
          <w:tcPr>
            <w:tcW w:w="302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u w:val="single"/>
              </w:rPr>
              <w:lastRenderedPageBreak/>
              <w:t>第五條</w:t>
            </w:r>
            <w:r>
              <w:rPr>
                <w:rFonts w:ascii="新細明體" w:eastAsia="新細明體" w:hAnsi="新細明體" w:hint="eastAsia"/>
                <w:sz w:val="26"/>
                <w:szCs w:val="26"/>
              </w:rPr>
              <w:t xml:space="preserve">　</w:t>
            </w:r>
            <w:r>
              <w:rPr>
                <w:rFonts w:ascii="新細明體" w:eastAsia="新細明體" w:hAnsi="新細明體" w:hint="eastAsia"/>
                <w:sz w:val="26"/>
                <w:szCs w:val="26"/>
                <w:u w:val="single"/>
              </w:rPr>
              <w:t>前條應繳之款項，基金管理會應</w:t>
            </w:r>
            <w:proofErr w:type="gramStart"/>
            <w:r>
              <w:rPr>
                <w:rFonts w:ascii="新細明體" w:eastAsia="新細明體" w:hAnsi="新細明體" w:hint="eastAsia"/>
                <w:sz w:val="26"/>
                <w:szCs w:val="26"/>
                <w:u w:val="single"/>
              </w:rPr>
              <w:t>俟</w:t>
            </w:r>
            <w:proofErr w:type="gramEnd"/>
            <w:r>
              <w:rPr>
                <w:rFonts w:ascii="新細明體" w:eastAsia="新細明體" w:hAnsi="新細明體" w:hint="eastAsia"/>
                <w:sz w:val="26"/>
                <w:szCs w:val="26"/>
                <w:u w:val="single"/>
              </w:rPr>
              <w:t>其繳納後，始予辦理各項給與。其因逾期未繳而致參加本基金人員或其遺族權益受損時，由服務機關（構）、學校負責。但有不可歸責於服務機關（構）、學校之事由者，不在此限。</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參加本基金人員如逾期繳付款項或追溯加入本基金者，其未繳費之年資，應按相同等級人員繳費標準換算複利終值之總和一次繳付，始予辦理各項給與。</w:t>
            </w:r>
          </w:p>
        </w:tc>
        <w:tc>
          <w:tcPr>
            <w:tcW w:w="3021" w:type="dxa"/>
          </w:tcPr>
          <w:p w:rsidR="00BF5B10" w:rsidRDefault="00BF5B10">
            <w:pPr>
              <w:spacing w:line="315" w:lineRule="exact"/>
              <w:ind w:leftChars="50" w:left="120" w:rightChars="50" w:right="120"/>
              <w:rPr>
                <w:rFonts w:ascii="新細明體" w:eastAsia="新細明體" w:hAnsi="新細明體"/>
                <w:sz w:val="26"/>
                <w:szCs w:val="26"/>
              </w:rPr>
            </w:pPr>
          </w:p>
        </w:tc>
        <w:tc>
          <w:tcPr>
            <w:tcW w:w="3019"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一、</w:t>
            </w:r>
            <w:r>
              <w:rPr>
                <w:rFonts w:ascii="新細明體" w:eastAsia="新細明體" w:hAnsi="新細明體" w:hint="eastAsia"/>
                <w:sz w:val="26"/>
                <w:szCs w:val="26"/>
                <w:u w:val="single"/>
              </w:rPr>
              <w:t>本條新增</w:t>
            </w:r>
            <w:r>
              <w:rPr>
                <w:rFonts w:ascii="新細明體" w:eastAsia="新細明體" w:hAnsi="新細明體" w:hint="eastAsia"/>
                <w:sz w:val="26"/>
                <w:szCs w:val="26"/>
              </w:rPr>
              <w:t>。</w:t>
            </w:r>
          </w:p>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二、現行本條例施行細則第十三條第一項後段規定：「逾期未繳，致參加本基金人員或其遺族權益受損時，由服務機關學校軍事單位負責。」第二項規定：「基金管理會應</w:t>
            </w:r>
            <w:proofErr w:type="gramStart"/>
            <w:r>
              <w:rPr>
                <w:rFonts w:ascii="新細明體" w:eastAsia="新細明體" w:hAnsi="新細明體" w:hint="eastAsia"/>
                <w:sz w:val="26"/>
                <w:szCs w:val="26"/>
              </w:rPr>
              <w:t>俟</w:t>
            </w:r>
            <w:proofErr w:type="gramEnd"/>
            <w:r>
              <w:rPr>
                <w:rFonts w:ascii="新細明體" w:eastAsia="新細明體" w:hAnsi="新細明體" w:hint="eastAsia"/>
                <w:sz w:val="26"/>
                <w:szCs w:val="26"/>
              </w:rPr>
              <w:t>本基金費用繳清後，始予辦理各項給與。」由於上述規定事涉當事人重要權益，</w:t>
            </w:r>
            <w:proofErr w:type="gramStart"/>
            <w:r>
              <w:rPr>
                <w:rFonts w:ascii="新細明體" w:eastAsia="新細明體" w:hAnsi="新細明體" w:hint="eastAsia"/>
                <w:sz w:val="26"/>
                <w:szCs w:val="26"/>
              </w:rPr>
              <w:t>爰</w:t>
            </w:r>
            <w:proofErr w:type="gramEnd"/>
            <w:r>
              <w:rPr>
                <w:rFonts w:ascii="新細明體" w:eastAsia="新細明體" w:hAnsi="新細明體" w:hint="eastAsia"/>
                <w:sz w:val="26"/>
                <w:szCs w:val="26"/>
              </w:rPr>
              <w:t>合併改列為本條第一項，並於但書增列不可歸責事由之除外規定，</w:t>
            </w:r>
            <w:proofErr w:type="gramStart"/>
            <w:r>
              <w:rPr>
                <w:rFonts w:ascii="新細明體" w:eastAsia="新細明體" w:hAnsi="新細明體" w:hint="eastAsia"/>
                <w:sz w:val="26"/>
                <w:szCs w:val="26"/>
              </w:rPr>
              <w:t>俾</w:t>
            </w:r>
            <w:proofErr w:type="gramEnd"/>
            <w:r>
              <w:rPr>
                <w:rFonts w:ascii="新細明體" w:eastAsia="新細明體" w:hAnsi="新細明體" w:hint="eastAsia"/>
                <w:sz w:val="26"/>
                <w:szCs w:val="26"/>
              </w:rPr>
              <w:t>資合理。</w:t>
            </w:r>
          </w:p>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三、又本條例施行細則第十三條第三項規定：「參加本基金</w:t>
            </w:r>
            <w:r>
              <w:rPr>
                <w:rFonts w:ascii="新細明體" w:eastAsia="新細明體" w:hAnsi="新細明體" w:hint="eastAsia"/>
                <w:sz w:val="26"/>
                <w:szCs w:val="26"/>
              </w:rPr>
              <w:lastRenderedPageBreak/>
              <w:t>人員如逾期繳付基金費用，其未繳費之年資，應按相同等級人員繳費標準換算複利終值之總和一次繳付，始予辦理各項給與。」係規範參加基金人員因個人因素致逾期繳費，應補繳款項本息後始予辦理各項給與之規定，亦屬當事人重要權益事項，</w:t>
            </w:r>
            <w:proofErr w:type="gramStart"/>
            <w:r>
              <w:rPr>
                <w:rFonts w:ascii="新細明體" w:eastAsia="新細明體" w:hAnsi="新細明體" w:hint="eastAsia"/>
                <w:sz w:val="26"/>
                <w:szCs w:val="26"/>
              </w:rPr>
              <w:t>爰</w:t>
            </w:r>
            <w:proofErr w:type="gramEnd"/>
            <w:r>
              <w:rPr>
                <w:rFonts w:ascii="新細明體" w:eastAsia="新細明體" w:hAnsi="新細明體" w:hint="eastAsia"/>
                <w:sz w:val="26"/>
                <w:szCs w:val="26"/>
              </w:rPr>
              <w:t>改訂於本條第二項，至複利終值之利率標準，擬於細則中規範。另對於追溯加入本基金之人員，於補繳款項時，基於複利終值觀念以及所有參加本基金人員權利義務公平之原則，自應換算複利終值之總和一次繳付基金，始能追溯取得參加基金之年資，</w:t>
            </w:r>
            <w:proofErr w:type="gramStart"/>
            <w:r>
              <w:rPr>
                <w:rFonts w:ascii="新細明體" w:eastAsia="新細明體" w:hAnsi="新細明體" w:hint="eastAsia"/>
                <w:sz w:val="26"/>
                <w:szCs w:val="26"/>
              </w:rPr>
              <w:t>爰</w:t>
            </w:r>
            <w:proofErr w:type="gramEnd"/>
            <w:r>
              <w:rPr>
                <w:rFonts w:ascii="新細明體" w:eastAsia="新細明體" w:hAnsi="新細明體" w:hint="eastAsia"/>
                <w:sz w:val="26"/>
                <w:szCs w:val="26"/>
              </w:rPr>
              <w:t>予增定。</w:t>
            </w:r>
          </w:p>
        </w:tc>
      </w:tr>
      <w:tr w:rsidR="00BF5B10" w:rsidTr="00B807BF">
        <w:tc>
          <w:tcPr>
            <w:tcW w:w="302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第六條　本基金之用途，限於經各該主管機關依法核定支付第一條所定人員之退休金、退職酬勞金、退伍金、退休</w:t>
            </w:r>
            <w:proofErr w:type="gramStart"/>
            <w:r>
              <w:rPr>
                <w:rFonts w:ascii="新細明體" w:eastAsia="新細明體" w:hAnsi="新細明體" w:hint="eastAsia"/>
                <w:sz w:val="26"/>
                <w:szCs w:val="26"/>
              </w:rPr>
              <w:t>俸</w:t>
            </w:r>
            <w:proofErr w:type="gramEnd"/>
            <w:r>
              <w:rPr>
                <w:rFonts w:ascii="新細明體" w:eastAsia="新細明體" w:hAnsi="新細明體" w:hint="eastAsia"/>
                <w:sz w:val="26"/>
                <w:szCs w:val="26"/>
              </w:rPr>
              <w:t>、贍養金、撫卹金、撫慰金、資遣給與及中途離職者之退費。但下列各項</w:t>
            </w:r>
            <w:proofErr w:type="gramStart"/>
            <w:r>
              <w:rPr>
                <w:rFonts w:ascii="新細明體" w:eastAsia="新細明體" w:hAnsi="新細明體" w:hint="eastAsia"/>
                <w:sz w:val="26"/>
                <w:szCs w:val="26"/>
              </w:rPr>
              <w:t>加發仍應</w:t>
            </w:r>
            <w:proofErr w:type="gramEnd"/>
            <w:r>
              <w:rPr>
                <w:rFonts w:ascii="新細明體" w:eastAsia="新細明體" w:hAnsi="新細明體" w:hint="eastAsia"/>
                <w:sz w:val="26"/>
                <w:szCs w:val="26"/>
              </w:rPr>
              <w:t>由各級政府另行編列預</w:t>
            </w:r>
            <w:r>
              <w:rPr>
                <w:rFonts w:ascii="新細明體" w:eastAsia="新細明體" w:hAnsi="新細明體" w:hint="eastAsia"/>
                <w:sz w:val="26"/>
                <w:szCs w:val="26"/>
              </w:rPr>
              <w:lastRenderedPageBreak/>
              <w:t>算支付：</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一、因公或作戰傷病</w:t>
            </w:r>
            <w:proofErr w:type="gramStart"/>
            <w:r>
              <w:rPr>
                <w:rFonts w:ascii="新細明體" w:eastAsia="新細明體" w:hAnsi="新細明體" w:hint="eastAsia"/>
                <w:sz w:val="26"/>
                <w:szCs w:val="26"/>
              </w:rPr>
              <w:t>成殘加發</w:t>
            </w:r>
            <w:proofErr w:type="gramEnd"/>
            <w:r>
              <w:rPr>
                <w:rFonts w:ascii="新細明體" w:eastAsia="新細明體" w:hAnsi="新細明體" w:hint="eastAsia"/>
                <w:sz w:val="26"/>
                <w:szCs w:val="26"/>
              </w:rPr>
              <w:t>之退休（職）（伍）金。</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二、因公死亡加發之撫卹金。</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三、勳章、獎章及特殊功績加給之退休（職）（伍）金、撫卹金。</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四、公務人員於年滿五十五歲時，自願提前退休加發之退休金。</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五、依公務人員退休法第十六條之一第五項、第六項規定加發之一次補償金。</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六、依軍人撫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條例規定加發之撫卹金。</w:t>
            </w:r>
          </w:p>
        </w:tc>
        <w:tc>
          <w:tcPr>
            <w:tcW w:w="3021"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第</w:t>
            </w:r>
            <w:r>
              <w:rPr>
                <w:rFonts w:ascii="新細明體" w:eastAsia="新細明體" w:hAnsi="新細明體" w:hint="eastAsia"/>
                <w:sz w:val="26"/>
                <w:szCs w:val="26"/>
                <w:u w:val="single"/>
              </w:rPr>
              <w:t>四</w:t>
            </w:r>
            <w:r>
              <w:rPr>
                <w:rFonts w:ascii="新細明體" w:eastAsia="新細明體" w:hAnsi="新細明體" w:hint="eastAsia"/>
                <w:sz w:val="26"/>
                <w:szCs w:val="26"/>
              </w:rPr>
              <w:t>條　本基金之用途，限於經各該主管機關依法核定支付第一條所定人員之退休金、退職酬勞金、退伍金、退休</w:t>
            </w:r>
            <w:proofErr w:type="gramStart"/>
            <w:r>
              <w:rPr>
                <w:rFonts w:ascii="新細明體" w:eastAsia="新細明體" w:hAnsi="新細明體" w:hint="eastAsia"/>
                <w:sz w:val="26"/>
                <w:szCs w:val="26"/>
              </w:rPr>
              <w:t>俸</w:t>
            </w:r>
            <w:proofErr w:type="gramEnd"/>
            <w:r>
              <w:rPr>
                <w:rFonts w:ascii="新細明體" w:eastAsia="新細明體" w:hAnsi="新細明體" w:hint="eastAsia"/>
                <w:sz w:val="26"/>
                <w:szCs w:val="26"/>
              </w:rPr>
              <w:t>、贍養金、撫卹金、撫慰金、資遣給與及中途離職者之退費。但下列各項</w:t>
            </w:r>
            <w:proofErr w:type="gramStart"/>
            <w:r>
              <w:rPr>
                <w:rFonts w:ascii="新細明體" w:eastAsia="新細明體" w:hAnsi="新細明體" w:hint="eastAsia"/>
                <w:sz w:val="26"/>
                <w:szCs w:val="26"/>
              </w:rPr>
              <w:t>加發仍應</w:t>
            </w:r>
            <w:proofErr w:type="gramEnd"/>
            <w:r>
              <w:rPr>
                <w:rFonts w:ascii="新細明體" w:eastAsia="新細明體" w:hAnsi="新細明體" w:hint="eastAsia"/>
                <w:sz w:val="26"/>
                <w:szCs w:val="26"/>
              </w:rPr>
              <w:t>由各級政府另行編列預</w:t>
            </w:r>
            <w:r>
              <w:rPr>
                <w:rFonts w:ascii="新細明體" w:eastAsia="新細明體" w:hAnsi="新細明體" w:hint="eastAsia"/>
                <w:sz w:val="26"/>
                <w:szCs w:val="26"/>
              </w:rPr>
              <w:lastRenderedPageBreak/>
              <w:t>算支付：</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一、因公或作戰傷病</w:t>
            </w:r>
            <w:proofErr w:type="gramStart"/>
            <w:r>
              <w:rPr>
                <w:rFonts w:ascii="新細明體" w:eastAsia="新細明體" w:hAnsi="新細明體" w:hint="eastAsia"/>
                <w:sz w:val="26"/>
                <w:szCs w:val="26"/>
              </w:rPr>
              <w:t>成殘加發</w:t>
            </w:r>
            <w:proofErr w:type="gramEnd"/>
            <w:r>
              <w:rPr>
                <w:rFonts w:ascii="新細明體" w:eastAsia="新細明體" w:hAnsi="新細明體" w:hint="eastAsia"/>
                <w:sz w:val="26"/>
                <w:szCs w:val="26"/>
              </w:rPr>
              <w:t>之退休（職）（伍）金。</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二、因公死亡加發之撫卹金。</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三、勳章、獎章及特殊功績加給之退休（職）（伍）金、撫卹金。</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四、公務人員於年滿五十五歲時，自願提前退休加發之退休金。</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五、依公務人員退休法第十六條之一第五項、第六項規定加發之一次補償金。</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六、依軍人撫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條例規定加發之撫卹金。</w:t>
            </w:r>
          </w:p>
        </w:tc>
        <w:tc>
          <w:tcPr>
            <w:tcW w:w="3019"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lastRenderedPageBreak/>
              <w:t>條次變更。</w:t>
            </w:r>
          </w:p>
        </w:tc>
      </w:tr>
      <w:tr w:rsidR="00BF5B10" w:rsidTr="00B807BF">
        <w:tc>
          <w:tcPr>
            <w:tcW w:w="302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第七條　本基金之運用範圍如下：</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一、購買公債、庫</w:t>
            </w:r>
            <w:proofErr w:type="gramStart"/>
            <w:r>
              <w:rPr>
                <w:rFonts w:ascii="新細明體" w:eastAsia="新細明體" w:hAnsi="新細明體" w:hint="eastAsia"/>
                <w:sz w:val="26"/>
                <w:szCs w:val="26"/>
              </w:rPr>
              <w:t>券</w:t>
            </w:r>
            <w:proofErr w:type="gramEnd"/>
            <w:r>
              <w:rPr>
                <w:rFonts w:ascii="新細明體" w:eastAsia="新細明體" w:hAnsi="新細明體" w:hint="eastAsia"/>
                <w:sz w:val="26"/>
                <w:szCs w:val="26"/>
              </w:rPr>
              <w:t>、短期票</w:t>
            </w:r>
            <w:proofErr w:type="gramStart"/>
            <w:r>
              <w:rPr>
                <w:rFonts w:ascii="新細明體" w:eastAsia="新細明體" w:hAnsi="新細明體" w:hint="eastAsia"/>
                <w:sz w:val="26"/>
                <w:szCs w:val="26"/>
              </w:rPr>
              <w:t>券</w:t>
            </w:r>
            <w:proofErr w:type="gramEnd"/>
            <w:r>
              <w:rPr>
                <w:rFonts w:ascii="新細明體" w:eastAsia="新細明體" w:hAnsi="新細明體" w:hint="eastAsia"/>
                <w:sz w:val="26"/>
                <w:szCs w:val="26"/>
              </w:rPr>
              <w:t>、受益憑證、公司債、上市公司股票。</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二、存放於委員會所指定之銀行。</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三、與第一條所定人員福利有關設施之投資及貸款。</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四、以貸款方式供各級政府或公營事業機構辦理有償性或可分年編列預算償還之經</w:t>
            </w:r>
            <w:r>
              <w:rPr>
                <w:rFonts w:ascii="新細明體" w:eastAsia="新細明體" w:hAnsi="新細明體" w:hint="eastAsia"/>
                <w:sz w:val="26"/>
                <w:szCs w:val="26"/>
              </w:rPr>
              <w:lastRenderedPageBreak/>
              <w:t>濟建設或投資。</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五、經委員會審定通過，並報請考試、行政兩院核准有利於本基金收益之投資項目。</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本基金之運用及委託經營，由委員會擬訂年度計畫行之，並由政府負擔保責任。</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本基金之運用，其三年內平均最低年收益不得低於台灣銀行二年期定期存款利率計算之收益</w:t>
            </w:r>
            <w:r w:rsidR="006E2E04" w:rsidRPr="006E2E04">
              <w:rPr>
                <w:rFonts w:ascii="新細明體" w:hAnsi="新細明體" w:cs="新細明體" w:hint="eastAsia"/>
                <w:kern w:val="0"/>
                <w:sz w:val="26"/>
                <w:szCs w:val="26"/>
                <w:u w:val="single"/>
              </w:rPr>
              <w:t>，且不得低於百分之一</w:t>
            </w:r>
            <w:r w:rsidR="006E2E04" w:rsidRPr="006E2E04">
              <w:rPr>
                <w:rFonts w:ascii="新細明體" w:hAnsi="新細明體" w:cs="新細明體"/>
                <w:kern w:val="0"/>
                <w:sz w:val="26"/>
                <w:szCs w:val="26"/>
                <w:u w:val="single"/>
              </w:rPr>
              <w:t>。</w:t>
            </w:r>
            <w:r>
              <w:rPr>
                <w:rFonts w:ascii="新細明體" w:eastAsia="新細明體" w:hAnsi="新細明體" w:hint="eastAsia"/>
                <w:sz w:val="26"/>
                <w:szCs w:val="26"/>
              </w:rPr>
              <w:t>如運用所得未達規定之最低收益者，由國庫補足其差額。</w:t>
            </w:r>
            <w:r>
              <w:rPr>
                <w:rFonts w:ascii="新細明體" w:eastAsia="新細明體" w:hAnsi="新細明體" w:hint="eastAsia"/>
                <w:sz w:val="26"/>
                <w:szCs w:val="26"/>
                <w:u w:val="single"/>
              </w:rPr>
              <w:t>如運用收益超過年度預定</w:t>
            </w:r>
            <w:proofErr w:type="gramStart"/>
            <w:r>
              <w:rPr>
                <w:rFonts w:ascii="新細明體" w:eastAsia="新細明體" w:hAnsi="新細明體" w:hint="eastAsia"/>
                <w:sz w:val="26"/>
                <w:szCs w:val="26"/>
                <w:u w:val="single"/>
              </w:rPr>
              <w:t>報酬率加百分之</w:t>
            </w:r>
            <w:proofErr w:type="gramEnd"/>
            <w:r>
              <w:rPr>
                <w:rFonts w:ascii="新細明體" w:eastAsia="新細明體" w:hAnsi="新細明體" w:hint="eastAsia"/>
                <w:sz w:val="26"/>
                <w:szCs w:val="26"/>
                <w:u w:val="single"/>
              </w:rPr>
              <w:t>五十時，超過部分之一半應</w:t>
            </w:r>
            <w:proofErr w:type="gramStart"/>
            <w:r>
              <w:rPr>
                <w:rFonts w:ascii="新細明體" w:eastAsia="新細明體" w:hAnsi="新細明體" w:hint="eastAsia"/>
                <w:sz w:val="26"/>
                <w:szCs w:val="26"/>
                <w:u w:val="single"/>
              </w:rPr>
              <w:t>提撥</w:t>
            </w:r>
            <w:proofErr w:type="gramEnd"/>
            <w:r>
              <w:rPr>
                <w:rFonts w:ascii="新細明體" w:eastAsia="新細明體" w:hAnsi="新細明體" w:hint="eastAsia"/>
                <w:sz w:val="26"/>
                <w:szCs w:val="26"/>
                <w:u w:val="single"/>
              </w:rPr>
              <w:t>至國庫，充作補足差額之準備。</w:t>
            </w:r>
          </w:p>
        </w:tc>
        <w:tc>
          <w:tcPr>
            <w:tcW w:w="3021"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第</w:t>
            </w:r>
            <w:r>
              <w:rPr>
                <w:rFonts w:ascii="新細明體" w:eastAsia="新細明體" w:hAnsi="新細明體" w:hint="eastAsia"/>
                <w:sz w:val="26"/>
                <w:szCs w:val="26"/>
                <w:u w:val="single"/>
              </w:rPr>
              <w:t>五</w:t>
            </w:r>
            <w:r>
              <w:rPr>
                <w:rFonts w:ascii="新細明體" w:eastAsia="新細明體" w:hAnsi="新細明體" w:hint="eastAsia"/>
                <w:sz w:val="26"/>
                <w:szCs w:val="26"/>
              </w:rPr>
              <w:t>條　本基金之運用範圍如下：</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一、購買公債、庫</w:t>
            </w:r>
            <w:proofErr w:type="gramStart"/>
            <w:r>
              <w:rPr>
                <w:rFonts w:ascii="新細明體" w:eastAsia="新細明體" w:hAnsi="新細明體" w:hint="eastAsia"/>
                <w:sz w:val="26"/>
                <w:szCs w:val="26"/>
              </w:rPr>
              <w:t>券</w:t>
            </w:r>
            <w:proofErr w:type="gramEnd"/>
            <w:r>
              <w:rPr>
                <w:rFonts w:ascii="新細明體" w:eastAsia="新細明體" w:hAnsi="新細明體" w:hint="eastAsia"/>
                <w:sz w:val="26"/>
                <w:szCs w:val="26"/>
              </w:rPr>
              <w:t>、短期票</w:t>
            </w:r>
            <w:proofErr w:type="gramStart"/>
            <w:r>
              <w:rPr>
                <w:rFonts w:ascii="新細明體" w:eastAsia="新細明體" w:hAnsi="新細明體" w:hint="eastAsia"/>
                <w:sz w:val="26"/>
                <w:szCs w:val="26"/>
              </w:rPr>
              <w:t>券</w:t>
            </w:r>
            <w:proofErr w:type="gramEnd"/>
            <w:r>
              <w:rPr>
                <w:rFonts w:ascii="新細明體" w:eastAsia="新細明體" w:hAnsi="新細明體" w:hint="eastAsia"/>
                <w:sz w:val="26"/>
                <w:szCs w:val="26"/>
              </w:rPr>
              <w:t>、受益憑證、公司債、上市公司股票。</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二、存放於本基金管理委員會所指定之銀行。</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三、與第一條所定人員福利有關設施之投資及貸款。</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四、以貸款方式供各級政府或公營事業機構辦理有償性或可分年編</w:t>
            </w:r>
            <w:r>
              <w:rPr>
                <w:rFonts w:ascii="新細明體" w:eastAsia="新細明體" w:hAnsi="新細明體" w:hint="eastAsia"/>
                <w:sz w:val="26"/>
                <w:szCs w:val="26"/>
              </w:rPr>
              <w:lastRenderedPageBreak/>
              <w:t>列預算償還之經濟建設或投資。</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五、經本基金監理委員會審定通過，並報請考試、行政兩院核准有利於本基金收益之投資項目。</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本基金之運用及委託經營，由基金管理委員會擬訂年度計畫，經基金監理委員會審定後行之，並由政府負擔保責任。</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本基金之運用，其三年內平均最低年收益不得低於台灣銀行二年期定期存款利率計算之收益。如運用所得未達規定之最低收益者，由國庫補足其差額。</w:t>
            </w:r>
          </w:p>
        </w:tc>
        <w:tc>
          <w:tcPr>
            <w:tcW w:w="3019"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lastRenderedPageBreak/>
              <w:t>條次變更，並依原條例，修正為「監」理委員會。</w:t>
            </w:r>
          </w:p>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第三項增列超過一定收益之處理，以與國庫撥補責任衡平。</w:t>
            </w:r>
          </w:p>
        </w:tc>
      </w:tr>
      <w:tr w:rsidR="00BF5B10" w:rsidTr="00B807BF">
        <w:tc>
          <w:tcPr>
            <w:tcW w:w="302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第八條　本基金之會計年度應與政府會計年度一致。</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本基金依預算法規定，應屬特種基金，並編製附屬單位預算。</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本基金有關預算編製、預算執行、決算編造，除應依照預算法、會計法、決算法及審計法規定辦理外，</w:t>
            </w:r>
            <w:r>
              <w:rPr>
                <w:rFonts w:ascii="新細明體" w:eastAsia="新細明體" w:hAnsi="新細明體" w:hint="eastAsia"/>
                <w:sz w:val="26"/>
                <w:szCs w:val="26"/>
              </w:rPr>
              <w:lastRenderedPageBreak/>
              <w:t>應由</w:t>
            </w:r>
            <w:r>
              <w:rPr>
                <w:rFonts w:ascii="新細明體" w:eastAsia="新細明體" w:hAnsi="新細明體" w:hint="eastAsia"/>
                <w:sz w:val="26"/>
                <w:szCs w:val="26"/>
                <w:u w:val="single"/>
              </w:rPr>
              <w:t>監理</w:t>
            </w:r>
            <w:r>
              <w:rPr>
                <w:rFonts w:ascii="新細明體" w:eastAsia="新細明體" w:hAnsi="新細明體" w:hint="eastAsia"/>
                <w:sz w:val="26"/>
                <w:szCs w:val="26"/>
              </w:rPr>
              <w:t>委員會依下列程序辦理：</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u w:val="single"/>
              </w:rPr>
              <w:t>一、年度開始前應訂定運用方針編製收支預算。</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二、年度終了應編具工作執行成果報告暨收支決算</w:t>
            </w:r>
            <w:r>
              <w:rPr>
                <w:rFonts w:ascii="新細明體" w:eastAsia="新細明體" w:hAnsi="新細明體" w:hint="eastAsia"/>
                <w:sz w:val="26"/>
                <w:szCs w:val="26"/>
                <w:u w:val="single"/>
              </w:rPr>
              <w:t>並公告之。</w:t>
            </w:r>
          </w:p>
        </w:tc>
        <w:tc>
          <w:tcPr>
            <w:tcW w:w="3021"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第</w:t>
            </w:r>
            <w:r>
              <w:rPr>
                <w:rFonts w:ascii="新細明體" w:eastAsia="新細明體" w:hAnsi="新細明體" w:hint="eastAsia"/>
                <w:sz w:val="26"/>
                <w:szCs w:val="26"/>
                <w:u w:val="single"/>
              </w:rPr>
              <w:t>六</w:t>
            </w:r>
            <w:r>
              <w:rPr>
                <w:rFonts w:ascii="新細明體" w:eastAsia="新細明體" w:hAnsi="新細明體" w:hint="eastAsia"/>
                <w:sz w:val="26"/>
                <w:szCs w:val="26"/>
              </w:rPr>
              <w:t>條　本基金之會計年度應與政府會計年度一致。</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本基金依預算法規定，應屬特種基金，並編製附屬單位預算。</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本基金有關預算編製、預算執行、決算編造，除應依照預算法、會計法、決算法及審計法規定辦理外，</w:t>
            </w:r>
            <w:r>
              <w:rPr>
                <w:rFonts w:ascii="新細明體" w:eastAsia="新細明體" w:hAnsi="新細明體" w:hint="eastAsia"/>
                <w:sz w:val="26"/>
                <w:szCs w:val="26"/>
              </w:rPr>
              <w:lastRenderedPageBreak/>
              <w:t>應由基金管理委員會依下列程序辦理：</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一、年度開始前應訂定運用方針編製收支預算，提本基金監理委員會覆核。</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二、年度終了應編具工作執行成果報告暨收支決算，提經本基金監理委員會審議公告之。</w:t>
            </w:r>
          </w:p>
        </w:tc>
        <w:tc>
          <w:tcPr>
            <w:tcW w:w="3019"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lastRenderedPageBreak/>
              <w:t>條次變更，並修正由監理會主導，不再將預決算分為擬定與覆核兩階段。</w:t>
            </w:r>
          </w:p>
        </w:tc>
      </w:tr>
      <w:tr w:rsidR="00BF5B10" w:rsidTr="00B807BF">
        <w:tc>
          <w:tcPr>
            <w:tcW w:w="302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第九條　本基金會計事務之處理，應依會計法規定訂定會計制度。</w:t>
            </w:r>
          </w:p>
        </w:tc>
        <w:tc>
          <w:tcPr>
            <w:tcW w:w="3021"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w:t>
            </w:r>
            <w:r>
              <w:rPr>
                <w:rFonts w:ascii="新細明體" w:eastAsia="新細明體" w:hAnsi="新細明體" w:hint="eastAsia"/>
                <w:sz w:val="26"/>
                <w:szCs w:val="26"/>
                <w:u w:val="single"/>
              </w:rPr>
              <w:t>七</w:t>
            </w:r>
            <w:r>
              <w:rPr>
                <w:rFonts w:ascii="新細明體" w:eastAsia="新細明體" w:hAnsi="新細明體" w:hint="eastAsia"/>
                <w:sz w:val="26"/>
                <w:szCs w:val="26"/>
              </w:rPr>
              <w:t>條　本基金會計事務之處理，應依會計法規定訂定會計制度。</w:t>
            </w:r>
          </w:p>
        </w:tc>
        <w:tc>
          <w:tcPr>
            <w:tcW w:w="3019"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條次變更。</w:t>
            </w:r>
          </w:p>
        </w:tc>
      </w:tr>
      <w:tr w:rsidR="00BF5B10" w:rsidTr="00B807BF">
        <w:tc>
          <w:tcPr>
            <w:tcW w:w="302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第十條　本基金</w:t>
            </w:r>
            <w:proofErr w:type="gramStart"/>
            <w:r>
              <w:rPr>
                <w:rFonts w:ascii="新細明體" w:eastAsia="新細明體" w:hAnsi="新細明體" w:hint="eastAsia"/>
                <w:sz w:val="26"/>
                <w:szCs w:val="26"/>
              </w:rPr>
              <w:t>採</w:t>
            </w:r>
            <w:proofErr w:type="gramEnd"/>
            <w:r>
              <w:rPr>
                <w:rFonts w:ascii="新細明體" w:eastAsia="新細明體" w:hAnsi="新細明體" w:hint="eastAsia"/>
                <w:sz w:val="26"/>
                <w:szCs w:val="26"/>
              </w:rPr>
              <w:t>統一管理，按政府別、身分別，</w:t>
            </w:r>
            <w:proofErr w:type="gramStart"/>
            <w:r>
              <w:rPr>
                <w:rFonts w:ascii="新細明體" w:eastAsia="新細明體" w:hAnsi="新細明體" w:hint="eastAsia"/>
                <w:sz w:val="26"/>
                <w:szCs w:val="26"/>
              </w:rPr>
              <w:t>分戶設帳</w:t>
            </w:r>
            <w:proofErr w:type="gramEnd"/>
            <w:r>
              <w:rPr>
                <w:rFonts w:ascii="新細明體" w:eastAsia="新細明體" w:hAnsi="新細明體" w:hint="eastAsia"/>
                <w:sz w:val="26"/>
                <w:szCs w:val="26"/>
              </w:rPr>
              <w:t>，分別以收支平衡為原則，年度決算如有賸餘，全數撥為基金。如基金不足支付時，應由基金檢討調整繳費費率，或由政府撥款補助，並由政府負最後支付責任。</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本基金於民國○○年○○月○○日前之收益不足暨潛藏負債，應由中央政府定期檢討處理。</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本基金運用績效應按季公布，基金各項投資標的與買賣紀錄應於九十</w:t>
            </w:r>
            <w:r>
              <w:rPr>
                <w:rFonts w:ascii="新細明體" w:eastAsia="新細明體" w:hAnsi="新細明體" w:hint="eastAsia"/>
                <w:sz w:val="26"/>
                <w:szCs w:val="26"/>
                <w:u w:val="single"/>
              </w:rPr>
              <w:lastRenderedPageBreak/>
              <w:t>日後自動公布。</w:t>
            </w:r>
          </w:p>
        </w:tc>
        <w:tc>
          <w:tcPr>
            <w:tcW w:w="3021"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第</w:t>
            </w:r>
            <w:r>
              <w:rPr>
                <w:rFonts w:ascii="新細明體" w:eastAsia="新細明體" w:hAnsi="新細明體" w:hint="eastAsia"/>
                <w:sz w:val="26"/>
                <w:szCs w:val="26"/>
                <w:u w:val="single"/>
              </w:rPr>
              <w:t>八</w:t>
            </w:r>
            <w:r>
              <w:rPr>
                <w:rFonts w:ascii="新細明體" w:eastAsia="新細明體" w:hAnsi="新細明體" w:hint="eastAsia"/>
                <w:sz w:val="26"/>
                <w:szCs w:val="26"/>
              </w:rPr>
              <w:t>條　本基金</w:t>
            </w:r>
            <w:proofErr w:type="gramStart"/>
            <w:r>
              <w:rPr>
                <w:rFonts w:ascii="新細明體" w:eastAsia="新細明體" w:hAnsi="新細明體" w:hint="eastAsia"/>
                <w:sz w:val="26"/>
                <w:szCs w:val="26"/>
              </w:rPr>
              <w:t>採</w:t>
            </w:r>
            <w:proofErr w:type="gramEnd"/>
            <w:r>
              <w:rPr>
                <w:rFonts w:ascii="新細明體" w:eastAsia="新細明體" w:hAnsi="新細明體" w:hint="eastAsia"/>
                <w:sz w:val="26"/>
                <w:szCs w:val="26"/>
              </w:rPr>
              <w:t>統一管理，按政府別、身分別，</w:t>
            </w:r>
            <w:proofErr w:type="gramStart"/>
            <w:r>
              <w:rPr>
                <w:rFonts w:ascii="新細明體" w:eastAsia="新細明體" w:hAnsi="新細明體" w:hint="eastAsia"/>
                <w:sz w:val="26"/>
                <w:szCs w:val="26"/>
              </w:rPr>
              <w:t>分戶設帳</w:t>
            </w:r>
            <w:proofErr w:type="gramEnd"/>
            <w:r>
              <w:rPr>
                <w:rFonts w:ascii="新細明體" w:eastAsia="新細明體" w:hAnsi="新細明體" w:hint="eastAsia"/>
                <w:sz w:val="26"/>
                <w:szCs w:val="26"/>
              </w:rPr>
              <w:t>，分別以收支平衡為原則，年度決算如有賸餘，全數撥為基金。如基金不足支付時，應由基金檢討調整繳費費率，或由政府撥款補助，並由政府負最後支付責任。</w:t>
            </w:r>
          </w:p>
        </w:tc>
        <w:tc>
          <w:tcPr>
            <w:tcW w:w="3019"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本基金成立初期，係</w:t>
            </w:r>
            <w:proofErr w:type="gramStart"/>
            <w:r>
              <w:rPr>
                <w:rFonts w:ascii="新細明體" w:eastAsia="新細明體" w:hAnsi="新細明體" w:hint="eastAsia"/>
                <w:sz w:val="26"/>
                <w:szCs w:val="26"/>
              </w:rPr>
              <w:t>採不</w:t>
            </w:r>
            <w:proofErr w:type="gramEnd"/>
            <w:r>
              <w:rPr>
                <w:rFonts w:ascii="新細明體" w:eastAsia="新細明體" w:hAnsi="新細明體" w:hint="eastAsia"/>
                <w:sz w:val="26"/>
                <w:szCs w:val="26"/>
              </w:rPr>
              <w:t>足額</w:t>
            </w:r>
            <w:proofErr w:type="gramStart"/>
            <w:r>
              <w:rPr>
                <w:rFonts w:ascii="新細明體" w:eastAsia="新細明體" w:hAnsi="新細明體" w:hint="eastAsia"/>
                <w:sz w:val="26"/>
                <w:szCs w:val="26"/>
              </w:rPr>
              <w:t>提撥</w:t>
            </w:r>
            <w:proofErr w:type="gramEnd"/>
            <w:r>
              <w:rPr>
                <w:rFonts w:ascii="新細明體" w:eastAsia="新細明體" w:hAnsi="新細明體" w:hint="eastAsia"/>
                <w:sz w:val="26"/>
                <w:szCs w:val="26"/>
              </w:rPr>
              <w:t>，以求軍公教人員接納新制，至九十七年底</w:t>
            </w:r>
            <w:proofErr w:type="gramStart"/>
            <w:r>
              <w:rPr>
                <w:rFonts w:ascii="新細明體" w:eastAsia="新細明體" w:hAnsi="新細明體" w:hint="eastAsia"/>
                <w:sz w:val="26"/>
                <w:szCs w:val="26"/>
              </w:rPr>
              <w:t>第四次精算</w:t>
            </w:r>
            <w:proofErr w:type="gramEnd"/>
            <w:r>
              <w:rPr>
                <w:rFonts w:ascii="新細明體" w:eastAsia="新細明體" w:hAnsi="新細明體" w:hint="eastAsia"/>
                <w:sz w:val="26"/>
                <w:szCs w:val="26"/>
              </w:rPr>
              <w:t>已產生鉅額潛藏負債，也衍生新生世代對本制度之疑慮，為維持基金參加人之信賴，</w:t>
            </w:r>
            <w:proofErr w:type="gramStart"/>
            <w:r>
              <w:rPr>
                <w:rFonts w:ascii="新細明體" w:eastAsia="新細明體" w:hAnsi="新細明體" w:hint="eastAsia"/>
                <w:sz w:val="26"/>
                <w:szCs w:val="26"/>
              </w:rPr>
              <w:t>爰</w:t>
            </w:r>
            <w:proofErr w:type="gramEnd"/>
            <w:r>
              <w:rPr>
                <w:rFonts w:ascii="新細明體" w:eastAsia="新細明體" w:hAnsi="新細明體" w:hint="eastAsia"/>
                <w:sz w:val="26"/>
                <w:szCs w:val="26"/>
              </w:rPr>
              <w:t>以</w:t>
            </w:r>
            <w:proofErr w:type="gramStart"/>
            <w:r>
              <w:rPr>
                <w:rFonts w:ascii="新細明體" w:eastAsia="新細明體" w:hAnsi="新細明體" w:hint="eastAsia"/>
                <w:sz w:val="26"/>
                <w:szCs w:val="26"/>
              </w:rPr>
              <w:t>第四次精算</w:t>
            </w:r>
            <w:proofErr w:type="gramEnd"/>
            <w:r>
              <w:rPr>
                <w:rFonts w:ascii="新細明體" w:eastAsia="新細明體" w:hAnsi="新細明體" w:hint="eastAsia"/>
                <w:sz w:val="26"/>
                <w:szCs w:val="26"/>
              </w:rPr>
              <w:t>結果為基準，之前的潛藏負債由中央政府定期檢討處理，之後的基金運用與費率暨支出則嚴守收支平衡之原則。</w:t>
            </w:r>
          </w:p>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為使基金運作恪守投資原則，建立各方共同監管機制，</w:t>
            </w:r>
            <w:proofErr w:type="gramStart"/>
            <w:r>
              <w:rPr>
                <w:rFonts w:ascii="新細明體" w:eastAsia="新細明體" w:hAnsi="新細明體" w:hint="eastAsia"/>
                <w:sz w:val="26"/>
                <w:szCs w:val="26"/>
              </w:rPr>
              <w:t>爰</w:t>
            </w:r>
            <w:proofErr w:type="gramEnd"/>
            <w:r>
              <w:rPr>
                <w:rFonts w:ascii="新細明體" w:eastAsia="新細明體" w:hAnsi="新細明體" w:hint="eastAsia"/>
                <w:sz w:val="26"/>
                <w:szCs w:val="26"/>
              </w:rPr>
              <w:t>增訂財務透明作法如第三項。</w:t>
            </w:r>
          </w:p>
        </w:tc>
      </w:tr>
      <w:tr w:rsidR="00BF5B10" w:rsidTr="00B807BF">
        <w:tc>
          <w:tcPr>
            <w:tcW w:w="302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第十一條　第一條所定人員依第四條規定領取之退休金、退職酬勞金、退伍金、退休</w:t>
            </w:r>
            <w:proofErr w:type="gramStart"/>
            <w:r>
              <w:rPr>
                <w:rFonts w:ascii="新細明體" w:eastAsia="新細明體" w:hAnsi="新細明體" w:hint="eastAsia"/>
                <w:sz w:val="26"/>
                <w:szCs w:val="26"/>
              </w:rPr>
              <w:t>俸</w:t>
            </w:r>
            <w:proofErr w:type="gramEnd"/>
            <w:r>
              <w:rPr>
                <w:rFonts w:ascii="新細明體" w:eastAsia="新細明體" w:hAnsi="新細明體" w:hint="eastAsia"/>
                <w:sz w:val="26"/>
                <w:szCs w:val="26"/>
              </w:rPr>
              <w:t>、贍養金、撫卹金、撫慰金、資遣給與、中途離職者之退費及其孳息部分，免納所得稅。</w:t>
            </w:r>
          </w:p>
        </w:tc>
        <w:tc>
          <w:tcPr>
            <w:tcW w:w="3021"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w:t>
            </w:r>
            <w:r>
              <w:rPr>
                <w:rFonts w:ascii="新細明體" w:eastAsia="新細明體" w:hAnsi="新細明體" w:hint="eastAsia"/>
                <w:sz w:val="26"/>
                <w:szCs w:val="26"/>
                <w:u w:val="single"/>
              </w:rPr>
              <w:t>九</w:t>
            </w:r>
            <w:r>
              <w:rPr>
                <w:rFonts w:ascii="新細明體" w:eastAsia="新細明體" w:hAnsi="新細明體" w:hint="eastAsia"/>
                <w:sz w:val="26"/>
                <w:szCs w:val="26"/>
              </w:rPr>
              <w:t>條　第一條所定人員依第四條規定領取之退休金、退職酬勞金、退伍金、退休</w:t>
            </w:r>
            <w:proofErr w:type="gramStart"/>
            <w:r>
              <w:rPr>
                <w:rFonts w:ascii="新細明體" w:eastAsia="新細明體" w:hAnsi="新細明體" w:hint="eastAsia"/>
                <w:sz w:val="26"/>
                <w:szCs w:val="26"/>
              </w:rPr>
              <w:t>俸</w:t>
            </w:r>
            <w:proofErr w:type="gramEnd"/>
            <w:r>
              <w:rPr>
                <w:rFonts w:ascii="新細明體" w:eastAsia="新細明體" w:hAnsi="新細明體" w:hint="eastAsia"/>
                <w:sz w:val="26"/>
                <w:szCs w:val="26"/>
              </w:rPr>
              <w:t>、贍養金、撫卹金、撫慰金、資遣給與、中途離職者之退費及其孳息部分，免納所得稅。</w:t>
            </w:r>
          </w:p>
        </w:tc>
        <w:tc>
          <w:tcPr>
            <w:tcW w:w="3019"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條次變更。</w:t>
            </w:r>
          </w:p>
        </w:tc>
      </w:tr>
      <w:tr w:rsidR="00BF5B10" w:rsidTr="00B807BF">
        <w:tc>
          <w:tcPr>
            <w:tcW w:w="302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第十二條　（政府責任）</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監督管理</w:t>
            </w:r>
            <w:r>
              <w:rPr>
                <w:rFonts w:ascii="新細明體" w:eastAsia="新細明體" w:hAnsi="新細明體" w:hint="eastAsia"/>
                <w:sz w:val="26"/>
                <w:szCs w:val="26"/>
              </w:rPr>
              <w:t>本基金所需之費用，由政府編列預算支付。</w:t>
            </w:r>
          </w:p>
        </w:tc>
        <w:tc>
          <w:tcPr>
            <w:tcW w:w="3021"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w:t>
            </w:r>
            <w:r>
              <w:rPr>
                <w:rFonts w:ascii="新細明體" w:eastAsia="新細明體" w:hAnsi="新細明體" w:hint="eastAsia"/>
                <w:sz w:val="26"/>
                <w:szCs w:val="26"/>
                <w:u w:val="single"/>
              </w:rPr>
              <w:t>十</w:t>
            </w:r>
            <w:r>
              <w:rPr>
                <w:rFonts w:ascii="新細明體" w:eastAsia="新細明體" w:hAnsi="新細明體" w:hint="eastAsia"/>
                <w:sz w:val="26"/>
                <w:szCs w:val="26"/>
              </w:rPr>
              <w:t>條　本基金之管理及監理所需之費用，由政府編列預算支付。</w:t>
            </w:r>
          </w:p>
        </w:tc>
        <w:tc>
          <w:tcPr>
            <w:tcW w:w="3019"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修正為「監督管理」。</w:t>
            </w:r>
          </w:p>
        </w:tc>
      </w:tr>
      <w:tr w:rsidR="00BF5B10" w:rsidTr="00B807BF">
        <w:tc>
          <w:tcPr>
            <w:tcW w:w="302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第十三條　（附則）</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本條例施行細則，由考試院會同行政院定之。</w:t>
            </w:r>
          </w:p>
        </w:tc>
        <w:tc>
          <w:tcPr>
            <w:tcW w:w="3021"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w:t>
            </w:r>
            <w:r>
              <w:rPr>
                <w:rFonts w:ascii="新細明體" w:eastAsia="新細明體" w:hAnsi="新細明體" w:hint="eastAsia"/>
                <w:sz w:val="26"/>
                <w:szCs w:val="26"/>
                <w:u w:val="single"/>
              </w:rPr>
              <w:t>十一</w:t>
            </w:r>
            <w:r>
              <w:rPr>
                <w:rFonts w:ascii="新細明體" w:eastAsia="新細明體" w:hAnsi="新細明體" w:hint="eastAsia"/>
                <w:sz w:val="26"/>
                <w:szCs w:val="26"/>
              </w:rPr>
              <w:t>條　本條例施行細則，由考試院會同行政院定之。</w:t>
            </w:r>
          </w:p>
        </w:tc>
        <w:tc>
          <w:tcPr>
            <w:tcW w:w="3019"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條次變更。</w:t>
            </w:r>
          </w:p>
        </w:tc>
      </w:tr>
      <w:tr w:rsidR="00BF5B10" w:rsidTr="00B807BF">
        <w:tc>
          <w:tcPr>
            <w:tcW w:w="302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第十四條　（附則）</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本條例施行日期，由考試院會同行政院以命令定之。</w:t>
            </w:r>
          </w:p>
        </w:tc>
        <w:tc>
          <w:tcPr>
            <w:tcW w:w="3021"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w:t>
            </w:r>
            <w:r>
              <w:rPr>
                <w:rFonts w:ascii="新細明體" w:eastAsia="新細明體" w:hAnsi="新細明體" w:hint="eastAsia"/>
                <w:sz w:val="26"/>
                <w:szCs w:val="26"/>
                <w:u w:val="single"/>
              </w:rPr>
              <w:t>十二</w:t>
            </w:r>
            <w:r>
              <w:rPr>
                <w:rFonts w:ascii="新細明體" w:eastAsia="新細明體" w:hAnsi="新細明體" w:hint="eastAsia"/>
                <w:sz w:val="26"/>
                <w:szCs w:val="26"/>
              </w:rPr>
              <w:t>條　本條例施行日期，由考試院會同行政院以命令定之。</w:t>
            </w:r>
          </w:p>
        </w:tc>
        <w:tc>
          <w:tcPr>
            <w:tcW w:w="3019"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條次變更。</w:t>
            </w:r>
          </w:p>
        </w:tc>
      </w:tr>
    </w:tbl>
    <w:p w:rsidR="00BF5B10" w:rsidRDefault="00BF5B10" w:rsidP="00BF5B10">
      <w:pPr>
        <w:rPr>
          <w:rFonts w:ascii="新細明體" w:eastAsia="新細明體" w:hAnsi="新細明體" w:cs="Times New Roman"/>
          <w:noProof/>
          <w:sz w:val="26"/>
          <w:szCs w:val="26"/>
        </w:rPr>
      </w:pPr>
    </w:p>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E14273">
      <w:r w:rsidRPr="004D0201">
        <w:rPr>
          <w:rFonts w:ascii="新細明體" w:eastAsia="新細明體" w:hAnsi="新細明體" w:cs="新細明體"/>
          <w:b/>
          <w:bCs/>
          <w:noProof/>
          <w:color w:val="3F3F41"/>
          <w:kern w:val="36"/>
          <w:sz w:val="39"/>
          <w:szCs w:val="39"/>
        </w:rPr>
        <w:lastRenderedPageBreak/>
        <mc:AlternateContent>
          <mc:Choice Requires="wps">
            <w:drawing>
              <wp:anchor distT="45720" distB="45720" distL="114300" distR="114300" simplePos="0" relativeHeight="251669504" behindDoc="0" locked="0" layoutInCell="1" allowOverlap="1" wp14:anchorId="2851A5FD" wp14:editId="5F599D38">
                <wp:simplePos x="0" y="0"/>
                <wp:positionH relativeFrom="column">
                  <wp:posOffset>5905500</wp:posOffset>
                </wp:positionH>
                <wp:positionV relativeFrom="paragraph">
                  <wp:posOffset>6985</wp:posOffset>
                </wp:positionV>
                <wp:extent cx="333375" cy="1404620"/>
                <wp:effectExtent l="0" t="0" r="28575" b="1397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4620"/>
                        </a:xfrm>
                        <a:prstGeom prst="rect">
                          <a:avLst/>
                        </a:prstGeom>
                        <a:solidFill>
                          <a:srgbClr val="FFFFFF"/>
                        </a:solidFill>
                        <a:ln w="9525">
                          <a:solidFill>
                            <a:srgbClr val="000000"/>
                          </a:solidFill>
                          <a:miter lim="800000"/>
                          <a:headEnd/>
                          <a:tailEnd/>
                        </a:ln>
                      </wps:spPr>
                      <wps:txbx>
                        <w:txbxContent>
                          <w:p w:rsidR="00AE0334" w:rsidRPr="004D0201" w:rsidRDefault="00AE0334" w:rsidP="004D0201">
                            <w:pPr>
                              <w:rPr>
                                <w:sz w:val="30"/>
                                <w:szCs w:val="30"/>
                              </w:rPr>
                            </w:pPr>
                            <w:r w:rsidRPr="004D0201">
                              <w:rPr>
                                <w:rFonts w:hint="eastAsia"/>
                                <w:sz w:val="30"/>
                                <w:szCs w:val="30"/>
                              </w:rPr>
                              <w:t>附</w:t>
                            </w:r>
                          </w:p>
                          <w:p w:rsidR="00AE0334" w:rsidRPr="004D0201" w:rsidRDefault="00AE0334" w:rsidP="004D0201">
                            <w:pPr>
                              <w:rPr>
                                <w:sz w:val="30"/>
                                <w:szCs w:val="30"/>
                              </w:rPr>
                            </w:pPr>
                            <w:r w:rsidRPr="004D0201">
                              <w:rPr>
                                <w:rFonts w:hint="eastAsia"/>
                                <w:sz w:val="30"/>
                                <w:szCs w:val="30"/>
                              </w:rPr>
                              <w:t>件</w:t>
                            </w:r>
                          </w:p>
                          <w:p w:rsidR="00AE0334" w:rsidRPr="004D0201" w:rsidRDefault="00412ACF" w:rsidP="004D0201">
                            <w:pPr>
                              <w:rPr>
                                <w:sz w:val="30"/>
                                <w:szCs w:val="30"/>
                              </w:rPr>
                            </w:pPr>
                            <w:r>
                              <w:rPr>
                                <w:rFonts w:hint="eastAsia"/>
                                <w:sz w:val="30"/>
                                <w:szCs w:val="30"/>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1A5FD" id="_x0000_s1033" type="#_x0000_t202" style="position:absolute;margin-left:465pt;margin-top:.55pt;width:26.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">
                <v:textbox style="mso-fit-shape-to-text:t">
                  <w:txbxContent>
                    <w:p w:rsidR="00AE0334" w:rsidRPr="004D0201" w:rsidRDefault="00AE0334" w:rsidP="004D0201">
                      <w:pPr>
                        <w:rPr>
                          <w:sz w:val="30"/>
                          <w:szCs w:val="30"/>
                        </w:rPr>
                      </w:pPr>
                      <w:r w:rsidRPr="004D0201">
                        <w:rPr>
                          <w:rFonts w:hint="eastAsia"/>
                          <w:sz w:val="30"/>
                          <w:szCs w:val="30"/>
                        </w:rPr>
                        <w:t>附</w:t>
                      </w:r>
                    </w:p>
                    <w:p w:rsidR="00AE0334" w:rsidRPr="004D0201" w:rsidRDefault="00AE0334" w:rsidP="004D0201">
                      <w:pPr>
                        <w:rPr>
                          <w:sz w:val="30"/>
                          <w:szCs w:val="30"/>
                        </w:rPr>
                      </w:pPr>
                      <w:r w:rsidRPr="004D0201">
                        <w:rPr>
                          <w:rFonts w:hint="eastAsia"/>
                          <w:sz w:val="30"/>
                          <w:szCs w:val="30"/>
                        </w:rPr>
                        <w:t>件</w:t>
                      </w:r>
                    </w:p>
                    <w:p w:rsidR="00AE0334" w:rsidRPr="004D0201" w:rsidRDefault="00412ACF" w:rsidP="004D0201">
                      <w:pPr>
                        <w:rPr>
                          <w:sz w:val="30"/>
                          <w:szCs w:val="30"/>
                        </w:rPr>
                      </w:pPr>
                      <w:r>
                        <w:rPr>
                          <w:rFonts w:hint="eastAsia"/>
                          <w:sz w:val="30"/>
                          <w:szCs w:val="30"/>
                        </w:rPr>
                        <w:t>四</w:t>
                      </w:r>
                    </w:p>
                  </w:txbxContent>
                </v:textbox>
                <w10:wrap type="square"/>
              </v:shape>
            </w:pict>
          </mc:Fallback>
        </mc:AlternateContent>
      </w:r>
    </w:p>
    <w:p w:rsidR="00BF5B10" w:rsidRPr="00F86B75" w:rsidRDefault="00F86B75" w:rsidP="00F86B75">
      <w:pPr>
        <w:jc w:val="center"/>
        <w:rPr>
          <w:b/>
          <w:sz w:val="30"/>
          <w:szCs w:val="30"/>
          <w:u w:val="single"/>
        </w:rPr>
      </w:pPr>
      <w:r w:rsidRPr="00F86B75">
        <w:rPr>
          <w:rFonts w:ascii="新細明體" w:eastAsia="新細明體" w:hAnsi="新細明體" w:hint="eastAsia"/>
          <w:b/>
          <w:sz w:val="30"/>
          <w:szCs w:val="30"/>
          <w:u w:val="single"/>
        </w:rPr>
        <w:t>公務人員退休撫</w:t>
      </w:r>
      <w:proofErr w:type="gramStart"/>
      <w:r w:rsidRPr="00F86B75">
        <w:rPr>
          <w:rFonts w:ascii="新細明體" w:eastAsia="新細明體" w:hAnsi="新細明體" w:hint="eastAsia"/>
          <w:b/>
          <w:sz w:val="30"/>
          <w:szCs w:val="30"/>
          <w:u w:val="single"/>
        </w:rPr>
        <w:t>卹</w:t>
      </w:r>
      <w:proofErr w:type="gramEnd"/>
      <w:r w:rsidRPr="00F86B75">
        <w:rPr>
          <w:rFonts w:ascii="新細明體" w:eastAsia="新細明體" w:hAnsi="新細明體" w:hint="eastAsia"/>
          <w:b/>
          <w:sz w:val="30"/>
          <w:szCs w:val="30"/>
          <w:u w:val="single"/>
        </w:rPr>
        <w:t>基金監理委員會組織條例修正草案</w:t>
      </w:r>
    </w:p>
    <w:p w:rsidR="00BF5B10" w:rsidRDefault="00BF5B10" w:rsidP="00582241">
      <w:pPr>
        <w:pStyle w:val="a4"/>
        <w:ind w:leftChars="54" w:left="130" w:right="120" w:firstLineChars="0" w:firstLine="0"/>
        <w:rPr>
          <w:rFonts w:ascii="新細明體" w:eastAsia="新細明體" w:hAnsi="新細明體"/>
          <w:sz w:val="26"/>
          <w:szCs w:val="26"/>
        </w:rPr>
      </w:pPr>
      <w:r>
        <w:rPr>
          <w:rFonts w:ascii="新細明體" w:eastAsia="新細明體" w:hAnsi="新細明體" w:hint="eastAsia"/>
          <w:sz w:val="26"/>
          <w:szCs w:val="26"/>
        </w:rPr>
        <w:t>案由：鑑於公務人員退休撫卹基金成立</w:t>
      </w:r>
      <w:r w:rsidR="0034056A">
        <w:rPr>
          <w:rFonts w:ascii="新細明體" w:eastAsia="新細明體" w:hAnsi="新細明體" w:hint="eastAsia"/>
          <w:sz w:val="26"/>
          <w:szCs w:val="26"/>
        </w:rPr>
        <w:t>二</w:t>
      </w:r>
      <w:r>
        <w:rPr>
          <w:rFonts w:ascii="新細明體" w:eastAsia="新細明體" w:hAnsi="新細明體" w:hint="eastAsia"/>
          <w:sz w:val="26"/>
          <w:szCs w:val="26"/>
        </w:rPr>
        <w:t>十多年來，績效屢遭輿論批評，爰參考國內外公共退休基金監督管理經驗，調整目前二元並立（管理、監理）的組織型態，並建立績效獎勵機制，以促使基金運作能夠有效提昇，俾免績效低迷造成基金參加人之惶恐及各級政府之負擔；提出「公務人員退休撫卹基金監理委員會組織條例修正草案」，並廢止「公務人員退休撫卹基金管理委員會組織條例」。是否有當，敬請公決。</w:t>
      </w:r>
    </w:p>
    <w:p w:rsidR="00BF5B10" w:rsidRDefault="00BF5B10" w:rsidP="00BF5B10">
      <w:pPr>
        <w:pStyle w:val="a3"/>
        <w:ind w:left="783" w:hanging="783"/>
        <w:rPr>
          <w:rFonts w:ascii="新細明體" w:eastAsia="新細明體" w:hAnsi="新細明體"/>
          <w:sz w:val="26"/>
          <w:szCs w:val="26"/>
        </w:rPr>
      </w:pPr>
      <w:r>
        <w:rPr>
          <w:rFonts w:ascii="新細明體" w:eastAsia="新細明體" w:hAnsi="新細明體" w:hint="eastAsia"/>
          <w:sz w:val="26"/>
          <w:szCs w:val="26"/>
        </w:rPr>
        <w:t>說明：公務人員退撫基金關係軍公教現職人員暨過去二十多年退休人員之權益，然自該基金成立以來，由於費率偏低、基金運用績效不佳，使得基金淨值遠低於基金當初設立時之預估，衍生基金參加人對於退撫制度能否永續存在之疑慮。</w:t>
      </w:r>
    </w:p>
    <w:p w:rsidR="00BF5B10" w:rsidRDefault="00BF5B10" w:rsidP="00BF5B10">
      <w:pPr>
        <w:pStyle w:val="a3"/>
        <w:ind w:left="783" w:hanging="783"/>
        <w:rPr>
          <w:rFonts w:ascii="新細明體" w:eastAsia="新細明體" w:hAnsi="新細明體"/>
          <w:sz w:val="26"/>
          <w:szCs w:val="26"/>
        </w:rPr>
      </w:pPr>
      <w:r>
        <w:rPr>
          <w:rFonts w:ascii="新細明體" w:eastAsia="新細明體" w:hAnsi="新細明體" w:hint="eastAsia"/>
          <w:sz w:val="26"/>
          <w:szCs w:val="26"/>
        </w:rPr>
        <w:t xml:space="preserve">      政府財政困窘，加以大幅提高費率在實務上有其困難，其他開源手段應一併考量，而改良基金監理管理機構，提昇運用績效，顯為迫切工作。根據精算，每提高收益率1%長期之效果，接近提高2~3%費率之效果。</w:t>
      </w:r>
    </w:p>
    <w:p w:rsidR="00BF5B10" w:rsidRDefault="00BF5B10" w:rsidP="00BF5B10">
      <w:pPr>
        <w:pStyle w:val="a3"/>
        <w:ind w:left="783" w:hanging="783"/>
        <w:rPr>
          <w:rFonts w:ascii="新細明體" w:eastAsia="新細明體" w:hAnsi="新細明體"/>
          <w:sz w:val="26"/>
          <w:szCs w:val="26"/>
        </w:rPr>
      </w:pPr>
      <w:r>
        <w:rPr>
          <w:rFonts w:ascii="新細明體" w:eastAsia="新細明體" w:hAnsi="新細明體" w:hint="eastAsia"/>
          <w:sz w:val="26"/>
          <w:szCs w:val="26"/>
        </w:rPr>
        <w:t xml:space="preserve">      為期提振政府效能，避免製造龐大國債，爰提出重大組織變革，以期立竿見影，修正重點如下：</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一、合併基金監理會、管理會之職掌及任務（草案第二條、第三條）。</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 xml:space="preserve">二、委員編制參考基金現有參加人員比例而定，並尊重各身份別之團結 </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 xml:space="preserve">    組織（草案第四條）。</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三、規定主任委員、副主任委員之充任條件（草案第四條）。</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四、規定委員之任期資格及忠實義務（草案第五條、第六條）。</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五、將迴避條款及旋轉門條款予以正面表列入法（草案第七條、第八條</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 xml:space="preserve">    ）。</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六、整併現有基金內部辦事組織及公務人員編制（草案第九條至十四條</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 xml:space="preserve">    ）。</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七、對委員會議召開、出席訂定規定（草案第十五條）。</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八、為業務需要，訂定聘用專業人才之員額及類別（草案第十六條）。</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九、訂定績效獎金制度，並授權考試院會銜、行政院核定其辦法（草案</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 xml:space="preserve">    第十七條）。</w:t>
      </w:r>
    </w:p>
    <w:p w:rsidR="00BF5B10" w:rsidRDefault="00BF5B10" w:rsidP="00582241">
      <w:pPr>
        <w:jc w:val="center"/>
        <w:rPr>
          <w:rFonts w:ascii="新細明體" w:eastAsia="新細明體" w:hAnsi="新細明體"/>
          <w:sz w:val="26"/>
          <w:szCs w:val="26"/>
        </w:rPr>
      </w:pPr>
      <w:r>
        <w:rPr>
          <w:rFonts w:ascii="新細明體" w:eastAsia="新細明體" w:hAnsi="新細明體" w:hint="eastAsia"/>
          <w:sz w:val="26"/>
          <w:szCs w:val="26"/>
        </w:rPr>
        <w:lastRenderedPageBreak/>
        <w:t>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基金監理委員會組織條例修正草案對照表</w:t>
      </w:r>
      <w:r w:rsidR="00582241">
        <w:rPr>
          <w:rFonts w:ascii="新細明體" w:eastAsia="新細明體" w:hAnsi="新細明體" w:hint="eastAsia"/>
          <w:sz w:val="26"/>
          <w:szCs w:val="26"/>
        </w:rPr>
        <w:t>如後頁</w:t>
      </w:r>
    </w:p>
    <w:tbl>
      <w:tblPr>
        <w:tblStyle w:val="af1"/>
        <w:tblW w:w="0" w:type="auto"/>
        <w:tblLook w:val="04A0" w:firstRow="1" w:lastRow="0" w:firstColumn="1" w:lastColumn="0" w:noHBand="0" w:noVBand="1"/>
      </w:tblPr>
      <w:tblGrid>
        <w:gridCol w:w="3025"/>
        <w:gridCol w:w="3020"/>
        <w:gridCol w:w="3017"/>
      </w:tblGrid>
      <w:tr w:rsidR="00BF5B10" w:rsidTr="00582241">
        <w:trPr>
          <w:tblHeader/>
        </w:trPr>
        <w:tc>
          <w:tcPr>
            <w:tcW w:w="3042" w:type="dxa"/>
            <w:hideMark/>
          </w:tcPr>
          <w:p w:rsidR="00BF5B10" w:rsidRDefault="00BF5B10" w:rsidP="00582241">
            <w:pPr>
              <w:pStyle w:val="a5"/>
              <w:ind w:left="312" w:right="120" w:hanging="192"/>
              <w:jc w:val="center"/>
              <w:rPr>
                <w:rFonts w:ascii="新細明體" w:eastAsia="新細明體" w:hAnsi="新細明體"/>
                <w:sz w:val="26"/>
                <w:szCs w:val="26"/>
              </w:rPr>
            </w:pPr>
            <w:r>
              <w:rPr>
                <w:rFonts w:ascii="新細明體" w:eastAsia="新細明體" w:hAnsi="新細明體" w:hint="eastAsia"/>
                <w:sz w:val="26"/>
                <w:szCs w:val="26"/>
              </w:rPr>
              <w:t>修正條文</w:t>
            </w:r>
          </w:p>
        </w:tc>
        <w:tc>
          <w:tcPr>
            <w:tcW w:w="3043" w:type="dxa"/>
            <w:hideMark/>
          </w:tcPr>
          <w:p w:rsidR="00BF5B10" w:rsidRDefault="00BF5B10" w:rsidP="00582241">
            <w:pPr>
              <w:pStyle w:val="a5"/>
              <w:ind w:left="642" w:right="120" w:hanging="522"/>
              <w:jc w:val="center"/>
              <w:rPr>
                <w:rFonts w:ascii="新細明體" w:eastAsia="新細明體" w:hAnsi="新細明體"/>
                <w:sz w:val="26"/>
                <w:szCs w:val="26"/>
              </w:rPr>
            </w:pPr>
            <w:r>
              <w:rPr>
                <w:rFonts w:ascii="新細明體" w:eastAsia="新細明體" w:hAnsi="新細明體" w:hint="eastAsia"/>
                <w:sz w:val="26"/>
                <w:szCs w:val="26"/>
              </w:rPr>
              <w:t>現行條文</w:t>
            </w:r>
          </w:p>
        </w:tc>
        <w:tc>
          <w:tcPr>
            <w:tcW w:w="3043" w:type="dxa"/>
            <w:hideMark/>
          </w:tcPr>
          <w:p w:rsidR="00BF5B10" w:rsidRDefault="00BF5B10" w:rsidP="00582241">
            <w:pPr>
              <w:pStyle w:val="a5"/>
              <w:ind w:left="642" w:right="120" w:hanging="522"/>
              <w:jc w:val="center"/>
              <w:rPr>
                <w:rFonts w:ascii="新細明體" w:eastAsia="新細明體" w:hAnsi="新細明體"/>
                <w:sz w:val="26"/>
                <w:szCs w:val="26"/>
              </w:rPr>
            </w:pPr>
            <w:r>
              <w:rPr>
                <w:rFonts w:ascii="新細明體" w:eastAsia="新細明體" w:hAnsi="新細明體" w:hint="eastAsia"/>
                <w:sz w:val="26"/>
                <w:szCs w:val="26"/>
              </w:rPr>
              <w:t>說明</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第一條　（法源依據）</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本條例依公務人員退休撫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w:t>
            </w:r>
            <w:r>
              <w:rPr>
                <w:rFonts w:ascii="新細明體" w:eastAsia="新細明體" w:hAnsi="新細明體" w:hint="eastAsia"/>
                <w:sz w:val="26"/>
                <w:szCs w:val="26"/>
                <w:u w:val="single"/>
              </w:rPr>
              <w:t>監督</w:t>
            </w:r>
            <w:r>
              <w:rPr>
                <w:rFonts w:ascii="新細明體" w:eastAsia="新細明體" w:hAnsi="新細明體" w:hint="eastAsia"/>
                <w:sz w:val="26"/>
                <w:szCs w:val="26"/>
              </w:rPr>
              <w:t>管理條例第二條規定制定之。</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第一條　（法源依據）</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本條例依公務人員退休撫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基金管理條例第二條規定制定之。</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本條配合管理條例修正，一併修正法律名稱。</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第二條　（任務）</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基金監理委員會（以下稱本會）隸屬於考試院，</w:t>
            </w:r>
            <w:r>
              <w:rPr>
                <w:rFonts w:ascii="新細明體" w:eastAsia="新細明體" w:hAnsi="新細明體" w:hint="eastAsia"/>
                <w:sz w:val="26"/>
                <w:szCs w:val="26"/>
                <w:u w:val="single"/>
              </w:rPr>
              <w:t>負責公務人員退撫基金</w:t>
            </w:r>
            <w:proofErr w:type="gramStart"/>
            <w:r>
              <w:rPr>
                <w:rFonts w:ascii="新細明體" w:eastAsia="新細明體" w:hAnsi="新細明體" w:hint="eastAsia"/>
                <w:sz w:val="26"/>
                <w:szCs w:val="26"/>
                <w:u w:val="single"/>
              </w:rPr>
              <w:t>之撥繳</w:t>
            </w:r>
            <w:proofErr w:type="gramEnd"/>
            <w:r>
              <w:rPr>
                <w:rFonts w:ascii="新細明體" w:eastAsia="新細明體" w:hAnsi="新細明體" w:hint="eastAsia"/>
                <w:sz w:val="26"/>
                <w:szCs w:val="26"/>
                <w:u w:val="single"/>
              </w:rPr>
              <w:t>、管理、運用及監督。</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第二條　（任務）</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基金監理委員會（以下簡稱本會），隸屬考試院，負責公務人員退休撫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基金收支、管理、運用之審議、監督及考核。</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依據公務人員退休撫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基金監督管理條例（新）第二條規定。</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第三條　（職掌）</w:t>
            </w:r>
          </w:p>
          <w:p w:rsidR="00BF5B10" w:rsidRDefault="00BF5B10">
            <w:pPr>
              <w:rPr>
                <w:rFonts w:ascii="新細明體" w:eastAsia="新細明體" w:hAnsi="新細明體"/>
                <w:sz w:val="26"/>
                <w:szCs w:val="26"/>
                <w:u w:val="single"/>
              </w:rPr>
            </w:pPr>
            <w:r>
              <w:rPr>
                <w:rFonts w:ascii="新細明體" w:eastAsia="新細明體" w:hAnsi="新細明體" w:hint="eastAsia"/>
                <w:sz w:val="26"/>
                <w:szCs w:val="26"/>
                <w:u w:val="single"/>
              </w:rPr>
              <w:t>本會掌理下列事項：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u w:val="single"/>
              </w:rPr>
              <w:t>一、關於公務人員退休撫</w:t>
            </w:r>
            <w:proofErr w:type="gramStart"/>
            <w:r>
              <w:rPr>
                <w:rFonts w:ascii="新細明體" w:eastAsia="新細明體" w:hAnsi="新細明體" w:hint="eastAsia"/>
                <w:sz w:val="26"/>
                <w:szCs w:val="26"/>
                <w:u w:val="single"/>
              </w:rPr>
              <w:t>卹</w:t>
            </w:r>
            <w:proofErr w:type="gramEnd"/>
            <w:r>
              <w:rPr>
                <w:rFonts w:ascii="新細明體" w:eastAsia="新細明體" w:hAnsi="新細明體" w:hint="eastAsia"/>
                <w:sz w:val="26"/>
                <w:szCs w:val="26"/>
                <w:u w:val="single"/>
              </w:rPr>
              <w:t>基金</w:t>
            </w:r>
            <w:proofErr w:type="gramStart"/>
            <w:r>
              <w:rPr>
                <w:rFonts w:ascii="新細明體" w:eastAsia="新細明體" w:hAnsi="新細明體" w:hint="eastAsia"/>
                <w:sz w:val="26"/>
                <w:szCs w:val="26"/>
                <w:u w:val="single"/>
              </w:rPr>
              <w:t>之撥繳</w:t>
            </w:r>
            <w:proofErr w:type="gramEnd"/>
            <w:r>
              <w:rPr>
                <w:rFonts w:ascii="新細明體" w:eastAsia="新細明體" w:hAnsi="新細明體" w:hint="eastAsia"/>
                <w:sz w:val="26"/>
                <w:szCs w:val="26"/>
                <w:u w:val="single"/>
              </w:rPr>
              <w:t>、管理及運用事項。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u w:val="single"/>
              </w:rPr>
              <w:t>二、本基金整體運用績效及年度運用計畫之決定。</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u w:val="single"/>
              </w:rPr>
              <w:t>三、本基金委託經營年度計畫，及年度預算決算之擬定。</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u w:val="single"/>
              </w:rPr>
              <w:t>四、本基金投資國內外金融市場之研究分析。</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u w:val="single"/>
              </w:rPr>
              <w:t>五、本基金委託國內外資產管理機構之研究及其績效分析。</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u w:val="single"/>
              </w:rPr>
              <w:t>六、本基金資產配置及運用策略之</w:t>
            </w:r>
            <w:proofErr w:type="gramStart"/>
            <w:r>
              <w:rPr>
                <w:rFonts w:ascii="新細明體" w:eastAsia="新細明體" w:hAnsi="新細明體" w:hint="eastAsia"/>
                <w:sz w:val="26"/>
                <w:szCs w:val="26"/>
                <w:u w:val="single"/>
              </w:rPr>
              <w:t>研</w:t>
            </w:r>
            <w:proofErr w:type="gramEnd"/>
            <w:r>
              <w:rPr>
                <w:rFonts w:ascii="新細明體" w:eastAsia="新細明體" w:hAnsi="新細明體" w:hint="eastAsia"/>
                <w:sz w:val="26"/>
                <w:szCs w:val="26"/>
                <w:u w:val="single"/>
              </w:rPr>
              <w:t>議與執行。</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u w:val="single"/>
              </w:rPr>
              <w:lastRenderedPageBreak/>
              <w:t>七、本基金委託金融機構之遴選及委託合約之訂定。</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u w:val="single"/>
              </w:rPr>
              <w:t>八、本基金運用績效評估指標及風險準則之訂定。</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u w:val="single"/>
              </w:rPr>
              <w:t>九、本基金年度預算及決算報告之編製及核定事項。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u w:val="single"/>
              </w:rPr>
              <w:t>十、本基金整體組合風險指標之計算。</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u w:val="single"/>
              </w:rPr>
              <w:t>十一、本基金資訊作業之整體規劃、系統分析、程式設計、資料處理及其他有關資訊管理事項。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u w:val="single"/>
              </w:rPr>
              <w:t>十二、其他關於本基金業務管理及監督事項。（基金來源）</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第三條　（職掌）</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本會掌理下列事項：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一、關於公務人員退休撫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基金收支、管理及運用計畫之審議事項。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二、關於公務人員退休撫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基金委託經營年度計畫之審定事項。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三、關於公務人員退休撫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基金管理年度預算、決算之覆核事項。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四、關於管理委員會管理退休撫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基金整體績效之考核事項。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五、關於管理委員會所提退休撫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w:t>
            </w:r>
            <w:proofErr w:type="gramStart"/>
            <w:r>
              <w:rPr>
                <w:rFonts w:ascii="新細明體" w:eastAsia="新細明體" w:hAnsi="新細明體" w:hint="eastAsia"/>
                <w:sz w:val="26"/>
                <w:szCs w:val="26"/>
              </w:rPr>
              <w:t>提撥</w:t>
            </w:r>
            <w:proofErr w:type="gramEnd"/>
            <w:r>
              <w:rPr>
                <w:rFonts w:ascii="新細明體" w:eastAsia="新細明體" w:hAnsi="新細明體" w:hint="eastAsia"/>
                <w:sz w:val="26"/>
                <w:szCs w:val="26"/>
              </w:rPr>
              <w:t>費率及其幅度調整案之</w:t>
            </w:r>
            <w:r>
              <w:rPr>
                <w:rFonts w:ascii="新細明體" w:eastAsia="新細明體" w:hAnsi="新細明體" w:hint="eastAsia"/>
                <w:sz w:val="26"/>
                <w:szCs w:val="26"/>
              </w:rPr>
              <w:lastRenderedPageBreak/>
              <w:t>審議事項。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六、關於公務人員退休撫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基金給付爭議之審議事項。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七、其他有關公務人員退休撫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基金業務監督事項。</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lastRenderedPageBreak/>
              <w:t>參考原基金管理會、監理會條例第三條及勞工退休基金監理委員會組織法第三條規定增修。</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第四條　（委員編制）</w:t>
            </w:r>
          </w:p>
          <w:p w:rsidR="00BF5B10" w:rsidRDefault="00BF5B10">
            <w:pPr>
              <w:pStyle w:val="a7"/>
              <w:ind w:leftChars="0" w:left="783" w:right="120" w:firstLine="522"/>
              <w:rPr>
                <w:rFonts w:ascii="新細明體" w:eastAsia="新細明體" w:hAnsi="新細明體"/>
                <w:sz w:val="26"/>
                <w:szCs w:val="26"/>
              </w:rPr>
            </w:pPr>
            <w:r>
              <w:rPr>
                <w:rFonts w:ascii="新細明體" w:eastAsia="新細明體" w:hAnsi="新細明體" w:hint="eastAsia"/>
                <w:sz w:val="26"/>
                <w:szCs w:val="26"/>
              </w:rPr>
              <w:t>本會置委員二十三人，下置辦事人員若干人。除主任委員一人，副主任委員兩人外，其餘委員由考試院長遴聘之，其委員代表名額如下：</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一、</w:t>
            </w:r>
            <w:r>
              <w:rPr>
                <w:rFonts w:ascii="新細明體" w:eastAsia="新細明體" w:hAnsi="新細明體" w:hint="eastAsia"/>
                <w:sz w:val="26"/>
                <w:szCs w:val="26"/>
                <w:u w:val="single"/>
              </w:rPr>
              <w:t>全國性公務人員協會推薦四人。</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二、</w:t>
            </w:r>
            <w:r>
              <w:rPr>
                <w:rFonts w:ascii="新細明體" w:eastAsia="新細明體" w:hAnsi="新細明體" w:hint="eastAsia"/>
                <w:sz w:val="26"/>
                <w:szCs w:val="26"/>
                <w:u w:val="single"/>
              </w:rPr>
              <w:t>全國</w:t>
            </w:r>
            <w:r w:rsidR="0034056A">
              <w:rPr>
                <w:rFonts w:ascii="新細明體" w:eastAsia="新細明體" w:hAnsi="新細明體" w:hint="eastAsia"/>
                <w:sz w:val="26"/>
                <w:szCs w:val="26"/>
                <w:u w:val="single"/>
              </w:rPr>
              <w:t>性</w:t>
            </w:r>
            <w:r>
              <w:rPr>
                <w:rFonts w:ascii="新細明體" w:eastAsia="新細明體" w:hAnsi="新細明體" w:hint="eastAsia"/>
                <w:sz w:val="26"/>
                <w:szCs w:val="26"/>
                <w:u w:val="single"/>
              </w:rPr>
              <w:t>教師工會聯合</w:t>
            </w:r>
            <w:r w:rsidR="0034056A">
              <w:rPr>
                <w:rFonts w:ascii="新細明體" w:eastAsia="新細明體" w:hAnsi="新細明體" w:hint="eastAsia"/>
                <w:sz w:val="26"/>
                <w:szCs w:val="26"/>
                <w:u w:val="single"/>
              </w:rPr>
              <w:t>組織</w:t>
            </w:r>
            <w:r>
              <w:rPr>
                <w:rFonts w:ascii="新細明體" w:eastAsia="新細明體" w:hAnsi="新細明體" w:hint="eastAsia"/>
                <w:sz w:val="26"/>
                <w:szCs w:val="26"/>
                <w:u w:val="single"/>
              </w:rPr>
              <w:t>推薦四人。</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lastRenderedPageBreak/>
              <w:t>三、</w:t>
            </w:r>
            <w:r>
              <w:rPr>
                <w:rFonts w:ascii="新細明體" w:eastAsia="新細明體" w:hAnsi="新細明體" w:hint="eastAsia"/>
                <w:sz w:val="26"/>
                <w:szCs w:val="26"/>
                <w:u w:val="single"/>
              </w:rPr>
              <w:t>考試院、司法院各推薦一人。</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四、</w:t>
            </w:r>
            <w:r>
              <w:rPr>
                <w:rFonts w:ascii="新細明體" w:eastAsia="新細明體" w:hAnsi="新細明體" w:hint="eastAsia"/>
                <w:sz w:val="26"/>
                <w:szCs w:val="26"/>
                <w:u w:val="single"/>
              </w:rPr>
              <w:t>財政部、教育部各推薦一人，國防部推薦二人，直轄市及縣（市）政府推薦二人。</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五、</w:t>
            </w:r>
            <w:r>
              <w:rPr>
                <w:rFonts w:ascii="新細明體" w:eastAsia="新細明體" w:hAnsi="新細明體" w:hint="eastAsia"/>
                <w:sz w:val="26"/>
                <w:szCs w:val="26"/>
                <w:u w:val="single"/>
              </w:rPr>
              <w:t>學者專家四人，其中二人由全國</w:t>
            </w:r>
            <w:r w:rsidR="0034056A">
              <w:rPr>
                <w:rFonts w:ascii="新細明體" w:eastAsia="新細明體" w:hAnsi="新細明體" w:hint="eastAsia"/>
                <w:sz w:val="26"/>
                <w:szCs w:val="26"/>
                <w:u w:val="single"/>
              </w:rPr>
              <w:t>性</w:t>
            </w:r>
            <w:r>
              <w:rPr>
                <w:rFonts w:ascii="新細明體" w:eastAsia="新細明體" w:hAnsi="新細明體" w:hint="eastAsia"/>
                <w:sz w:val="26"/>
                <w:szCs w:val="26"/>
                <w:u w:val="single"/>
              </w:rPr>
              <w:t>教師工會聯合</w:t>
            </w:r>
            <w:r w:rsidR="0034056A">
              <w:rPr>
                <w:rFonts w:ascii="新細明體" w:eastAsia="新細明體" w:hAnsi="新細明體" w:hint="eastAsia"/>
                <w:sz w:val="26"/>
                <w:szCs w:val="26"/>
                <w:u w:val="single"/>
              </w:rPr>
              <w:t>組織</w:t>
            </w:r>
            <w:r>
              <w:rPr>
                <w:rFonts w:ascii="新細明體" w:eastAsia="新細明體" w:hAnsi="新細明體" w:hint="eastAsia"/>
                <w:sz w:val="26"/>
                <w:szCs w:val="26"/>
                <w:u w:val="single"/>
              </w:rPr>
              <w:t>推薦，二人由全國性公務人員協會推薦。</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主任委員，綜理會務，特任；副主任委員二人，襄理會務，其中一人比照十四職等，另外一人職務列簡任第十四職等。主任及</w:t>
            </w:r>
            <w:proofErr w:type="gramStart"/>
            <w:r>
              <w:rPr>
                <w:rFonts w:ascii="新細明體" w:eastAsia="新細明體" w:hAnsi="新細明體" w:hint="eastAsia"/>
                <w:sz w:val="26"/>
                <w:szCs w:val="26"/>
                <w:u w:val="single"/>
              </w:rPr>
              <w:t>及</w:t>
            </w:r>
            <w:proofErr w:type="gramEnd"/>
            <w:r>
              <w:rPr>
                <w:rFonts w:ascii="新細明體" w:eastAsia="新細明體" w:hAnsi="新細明體" w:hint="eastAsia"/>
                <w:sz w:val="26"/>
                <w:szCs w:val="26"/>
                <w:u w:val="single"/>
              </w:rPr>
              <w:t>副主任委員應具法律、經濟、金融、退休金管理等相關學識及經驗。</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主任委員因故無法行使職權時，除由政務副主任委員代理外，並應於三十日內任用新主任委員。</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第五條　（委員編制）</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本會置主任委員一人，由考試院副院長兼任，綜理會務；並置委員十九人至二十三人，由中央與地方政府有關機關代表及軍公教人員代表組成，</w:t>
            </w:r>
            <w:proofErr w:type="gramStart"/>
            <w:r>
              <w:rPr>
                <w:rFonts w:ascii="新細明體" w:eastAsia="新細明體" w:hAnsi="新細明體" w:hint="eastAsia"/>
                <w:sz w:val="26"/>
                <w:szCs w:val="26"/>
              </w:rPr>
              <w:t>均由考試</w:t>
            </w:r>
            <w:proofErr w:type="gramEnd"/>
            <w:r>
              <w:rPr>
                <w:rFonts w:ascii="新細明體" w:eastAsia="新細明體" w:hAnsi="新細明體" w:hint="eastAsia"/>
                <w:sz w:val="26"/>
                <w:szCs w:val="26"/>
              </w:rPr>
              <w:t>院院長聘兼；其產生辦法由考試院定之。</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前項軍公教人員代表不得少於委員總額三分之一，任期二年。</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參考勞工退休基金監理委員會組織法第四條、第十條規定及行政院金融監督管理委員會組織法第八條規定增修。</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第五條　（委員任期）</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本會除主任委員及副主任委員外，委員聘期為三年，期滿後仍得續聘之，惟連任以一次為限。</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代表機關或團</w:t>
            </w:r>
            <w:r>
              <w:rPr>
                <w:rFonts w:ascii="新細明體" w:eastAsia="新細明體" w:hAnsi="新細明體" w:hint="eastAsia"/>
                <w:sz w:val="26"/>
                <w:szCs w:val="26"/>
                <w:u w:val="single"/>
              </w:rPr>
              <w:lastRenderedPageBreak/>
              <w:t>體出任者，應隨其本職異動而更替。委員出缺時，應由原推薦團體或機關推薦，並依第四條</w:t>
            </w:r>
            <w:proofErr w:type="gramStart"/>
            <w:r>
              <w:rPr>
                <w:rFonts w:ascii="新細明體" w:eastAsia="新細明體" w:hAnsi="新細明體" w:hint="eastAsia"/>
                <w:sz w:val="26"/>
                <w:szCs w:val="26"/>
                <w:u w:val="single"/>
              </w:rPr>
              <w:t>遴</w:t>
            </w:r>
            <w:proofErr w:type="gramEnd"/>
            <w:r>
              <w:rPr>
                <w:rFonts w:ascii="新細明體" w:eastAsia="新細明體" w:hAnsi="新細明體" w:hint="eastAsia"/>
                <w:sz w:val="26"/>
                <w:szCs w:val="26"/>
                <w:u w:val="single"/>
              </w:rPr>
              <w:t>聘之。其繼任人員之聘期至原任人員聘期屆滿之日為止。</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本會得聘法律、財務等專家學者五至七人為顧問。</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本會除主任委員、副主任委員外，其餘委員及</w:t>
            </w:r>
            <w:proofErr w:type="gramStart"/>
            <w:r>
              <w:rPr>
                <w:rFonts w:ascii="新細明體" w:eastAsia="新細明體" w:hAnsi="新細明體" w:hint="eastAsia"/>
                <w:sz w:val="26"/>
                <w:szCs w:val="26"/>
                <w:u w:val="single"/>
              </w:rPr>
              <w:t>顧問均為無</w:t>
            </w:r>
            <w:proofErr w:type="gramEnd"/>
            <w:r>
              <w:rPr>
                <w:rFonts w:ascii="新細明體" w:eastAsia="新細明體" w:hAnsi="新細明體" w:hint="eastAsia"/>
                <w:sz w:val="26"/>
                <w:szCs w:val="26"/>
                <w:u w:val="single"/>
              </w:rPr>
              <w:t>給職，但得支給交通費及出席費。</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第九條　本會得</w:t>
            </w:r>
            <w:proofErr w:type="gramStart"/>
            <w:r>
              <w:rPr>
                <w:rFonts w:ascii="新細明體" w:eastAsia="新細明體" w:hAnsi="新細明體" w:hint="eastAsia"/>
                <w:sz w:val="26"/>
                <w:szCs w:val="26"/>
              </w:rPr>
              <w:t>遴</w:t>
            </w:r>
            <w:proofErr w:type="gramEnd"/>
            <w:r>
              <w:rPr>
                <w:rFonts w:ascii="新細明體" w:eastAsia="新細明體" w:hAnsi="新細明體" w:hint="eastAsia"/>
                <w:sz w:val="26"/>
                <w:szCs w:val="26"/>
              </w:rPr>
              <w:t>聘法律、財務等專家學者五人至七人為顧問，聘期二年；其</w:t>
            </w:r>
            <w:proofErr w:type="gramStart"/>
            <w:r>
              <w:rPr>
                <w:rFonts w:ascii="新細明體" w:eastAsia="新細明體" w:hAnsi="新細明體" w:hint="eastAsia"/>
                <w:sz w:val="26"/>
                <w:szCs w:val="26"/>
              </w:rPr>
              <w:t>遴</w:t>
            </w:r>
            <w:proofErr w:type="gramEnd"/>
            <w:r>
              <w:rPr>
                <w:rFonts w:ascii="新細明體" w:eastAsia="新細明體" w:hAnsi="新細明體" w:hint="eastAsia"/>
                <w:sz w:val="26"/>
                <w:szCs w:val="26"/>
              </w:rPr>
              <w:t>聘辦法另定之。</w:t>
            </w:r>
          </w:p>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第十條　本會委員、</w:t>
            </w:r>
            <w:proofErr w:type="gramStart"/>
            <w:r>
              <w:rPr>
                <w:rFonts w:ascii="新細明體" w:eastAsia="新細明體" w:hAnsi="新細明體" w:hint="eastAsia"/>
                <w:sz w:val="26"/>
                <w:szCs w:val="26"/>
              </w:rPr>
              <w:t>顧問均為無</w:t>
            </w:r>
            <w:proofErr w:type="gramEnd"/>
            <w:r>
              <w:rPr>
                <w:rFonts w:ascii="新細明體" w:eastAsia="新細明體" w:hAnsi="新細明體" w:hint="eastAsia"/>
                <w:sz w:val="26"/>
                <w:szCs w:val="26"/>
              </w:rPr>
              <w:t>給職。但得依規定支領交</w:t>
            </w:r>
            <w:r>
              <w:rPr>
                <w:rFonts w:ascii="新細明體" w:eastAsia="新細明體" w:hAnsi="新細明體" w:hint="eastAsia"/>
                <w:sz w:val="26"/>
                <w:szCs w:val="26"/>
              </w:rPr>
              <w:lastRenderedPageBreak/>
              <w:t>通費或出席費。</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lastRenderedPageBreak/>
              <w:t>參考勞工退休基金監理委員會組織法第五條規定增修。</w:t>
            </w:r>
          </w:p>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無給職係對其他委員及顧問。</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第六條　（委員資格）</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本會委員應具下列資格之</w:t>
            </w:r>
            <w:proofErr w:type="gramStart"/>
            <w:r>
              <w:rPr>
                <w:rFonts w:ascii="新細明體" w:eastAsia="新細明體" w:hAnsi="新細明體" w:hint="eastAsia"/>
                <w:sz w:val="26"/>
                <w:szCs w:val="26"/>
                <w:u w:val="single"/>
              </w:rPr>
              <w:t>一</w:t>
            </w:r>
            <w:proofErr w:type="gramEnd"/>
            <w:r>
              <w:rPr>
                <w:rFonts w:ascii="新細明體" w:eastAsia="新細明體" w:hAnsi="新細明體" w:hint="eastAsia"/>
                <w:sz w:val="26"/>
                <w:szCs w:val="26"/>
                <w:u w:val="single"/>
              </w:rPr>
              <w:t>：</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一、</w:t>
            </w:r>
            <w:r>
              <w:rPr>
                <w:rFonts w:ascii="新細明體" w:eastAsia="新細明體" w:hAnsi="新細明體" w:hint="eastAsia"/>
                <w:sz w:val="26"/>
                <w:szCs w:val="26"/>
                <w:u w:val="single"/>
              </w:rPr>
              <w:t>具全國性團體代表性。</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二、</w:t>
            </w:r>
            <w:r>
              <w:rPr>
                <w:rFonts w:ascii="新細明體" w:eastAsia="新細明體" w:hAnsi="新細明體" w:hint="eastAsia"/>
                <w:sz w:val="26"/>
                <w:szCs w:val="26"/>
                <w:u w:val="single"/>
              </w:rPr>
              <w:t>具有財務金融、經濟、法律、投資管理、風險控管、退休金管理或企業管理等相關學識或經驗者。</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本會人員應善盡忠實經營義務，遵守利益迴避原則，對於本會尚未公開之決議事項、操作計畫應行保密，且不得假借職務上之權力、機會或方法，圖謀本</w:t>
            </w:r>
            <w:r>
              <w:rPr>
                <w:rFonts w:ascii="新細明體" w:eastAsia="新細明體" w:hAnsi="新細明體" w:hint="eastAsia"/>
                <w:sz w:val="26"/>
                <w:szCs w:val="26"/>
                <w:u w:val="single"/>
              </w:rPr>
              <w:lastRenderedPageBreak/>
              <w:t>人、配偶或關係人之利益。</w:t>
            </w:r>
          </w:p>
        </w:tc>
        <w:tc>
          <w:tcPr>
            <w:tcW w:w="3043" w:type="dxa"/>
          </w:tcPr>
          <w:p w:rsidR="00BF5B10" w:rsidRDefault="00BF5B10">
            <w:pPr>
              <w:spacing w:line="315" w:lineRule="exact"/>
              <w:ind w:leftChars="50" w:left="120" w:rightChars="50" w:right="120"/>
              <w:rPr>
                <w:rFonts w:ascii="新細明體" w:eastAsia="新細明體" w:hAnsi="新細明體"/>
                <w:sz w:val="26"/>
                <w:szCs w:val="26"/>
              </w:rPr>
            </w:pP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u w:val="single"/>
              </w:rPr>
            </w:pPr>
            <w:r>
              <w:rPr>
                <w:rFonts w:ascii="新細明體" w:eastAsia="新細明體" w:hAnsi="新細明體" w:hint="eastAsia"/>
                <w:sz w:val="26"/>
                <w:szCs w:val="26"/>
                <w:u w:val="single"/>
              </w:rPr>
              <w:t>本條新增。</w:t>
            </w:r>
          </w:p>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參考勞工退休基金監理委員會組織法第六條規定增修。</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第七條　（迴避條款）</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本會委員有下列各款情形之</w:t>
            </w:r>
            <w:proofErr w:type="gramStart"/>
            <w:r>
              <w:rPr>
                <w:rFonts w:ascii="新細明體" w:eastAsia="新細明體" w:hAnsi="新細明體" w:hint="eastAsia"/>
                <w:sz w:val="26"/>
                <w:szCs w:val="26"/>
                <w:u w:val="single"/>
              </w:rPr>
              <w:t>一</w:t>
            </w:r>
            <w:proofErr w:type="gramEnd"/>
            <w:r>
              <w:rPr>
                <w:rFonts w:ascii="新細明體" w:eastAsia="新細明體" w:hAnsi="新細明體" w:hint="eastAsia"/>
                <w:sz w:val="26"/>
                <w:szCs w:val="26"/>
                <w:u w:val="single"/>
              </w:rPr>
              <w:t>者，不得擔任本會委員；已擔任者，解聘之：</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一、</w:t>
            </w:r>
            <w:r>
              <w:rPr>
                <w:rFonts w:ascii="新細明體" w:eastAsia="新細明體" w:hAnsi="新細明體" w:hint="eastAsia"/>
                <w:sz w:val="26"/>
                <w:szCs w:val="26"/>
                <w:u w:val="single"/>
              </w:rPr>
              <w:t>無行為能力或限制行為能力，致不能執行職務者。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二、</w:t>
            </w:r>
            <w:r>
              <w:rPr>
                <w:rFonts w:ascii="新細明體" w:eastAsia="新細明體" w:hAnsi="新細明體" w:hint="eastAsia"/>
                <w:sz w:val="26"/>
                <w:szCs w:val="26"/>
                <w:u w:val="single"/>
              </w:rPr>
              <w:t>曾犯組織犯罪防制條例規定之罪，經有罪判決確定者。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三、</w:t>
            </w:r>
            <w:r>
              <w:rPr>
                <w:rFonts w:ascii="新細明體" w:eastAsia="新細明體" w:hAnsi="新細明體" w:hint="eastAsia"/>
                <w:sz w:val="26"/>
                <w:szCs w:val="26"/>
                <w:u w:val="single"/>
              </w:rPr>
              <w:t>曾犯偽造貨幣、偽造有價證券、侵占、詐欺、背信罪，經宣告有期徒刑以上之刑確定，尚未執行完畢，或執行完畢、緩刑期滿或赦免後尚未逾十年者。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四、</w:t>
            </w:r>
            <w:r>
              <w:rPr>
                <w:rFonts w:ascii="新細明體" w:eastAsia="新細明體" w:hAnsi="新細明體" w:hint="eastAsia"/>
                <w:sz w:val="26"/>
                <w:szCs w:val="26"/>
                <w:u w:val="single"/>
              </w:rPr>
              <w:t>曾犯偽造文書、妨害秘密、重利、損害債權罪或違反稅捐</w:t>
            </w:r>
            <w:proofErr w:type="gramStart"/>
            <w:r>
              <w:rPr>
                <w:rFonts w:ascii="新細明體" w:eastAsia="新細明體" w:hAnsi="新細明體" w:hint="eastAsia"/>
                <w:sz w:val="26"/>
                <w:szCs w:val="26"/>
                <w:u w:val="single"/>
              </w:rPr>
              <w:t>稽</w:t>
            </w:r>
            <w:proofErr w:type="gramEnd"/>
            <w:r>
              <w:rPr>
                <w:rFonts w:ascii="新細明體" w:eastAsia="新細明體" w:hAnsi="新細明體" w:hint="eastAsia"/>
                <w:sz w:val="26"/>
                <w:szCs w:val="26"/>
                <w:u w:val="single"/>
              </w:rPr>
              <w:t>徵法、商標法、專利法或其他工商管理法律規定，經宣告有期徒刑以上之刑確定，尚未執行完畢，或執行完畢、緩刑期滿或赦免後尚未逾五年者。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lastRenderedPageBreak/>
              <w:t>五、</w:t>
            </w:r>
            <w:r>
              <w:rPr>
                <w:rFonts w:ascii="新細明體" w:eastAsia="新細明體" w:hAnsi="新細明體" w:hint="eastAsia"/>
                <w:sz w:val="26"/>
                <w:szCs w:val="26"/>
                <w:u w:val="single"/>
              </w:rPr>
              <w:t>曾犯貪污罪，受刑之宣告確定者。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六、</w:t>
            </w:r>
            <w:r>
              <w:rPr>
                <w:rFonts w:ascii="新細明體" w:eastAsia="新細明體" w:hAnsi="新細明體" w:hint="eastAsia"/>
                <w:sz w:val="26"/>
                <w:szCs w:val="26"/>
                <w:u w:val="single"/>
              </w:rPr>
              <w:t>違反證券投資信託及顧問法、銀行法、金融控股公司法、信託業法、票</w:t>
            </w:r>
            <w:proofErr w:type="gramStart"/>
            <w:r>
              <w:rPr>
                <w:rFonts w:ascii="新細明體" w:eastAsia="新細明體" w:hAnsi="新細明體" w:hint="eastAsia"/>
                <w:sz w:val="26"/>
                <w:szCs w:val="26"/>
                <w:u w:val="single"/>
              </w:rPr>
              <w:t>券</w:t>
            </w:r>
            <w:proofErr w:type="gramEnd"/>
            <w:r>
              <w:rPr>
                <w:rFonts w:ascii="新細明體" w:eastAsia="新細明體" w:hAnsi="新細明體" w:hint="eastAsia"/>
                <w:sz w:val="26"/>
                <w:szCs w:val="26"/>
                <w:u w:val="single"/>
              </w:rPr>
              <w:t>金融管理法、金融資產證券化條例、不動產證券化條例、保險法、證券交易法、期貨交易法、管理外匯條例、信用合作社法、農業金融法、農會法、漁會法、洗錢防制法或其他金融管理法律，受有期徒刑以上之刑宣告確定，尚未執行完畢，或執行完畢、緩刑期滿或赦免後尚未逾五年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七、</w:t>
            </w:r>
            <w:r>
              <w:rPr>
                <w:rFonts w:ascii="新細明體" w:eastAsia="新細明體" w:hAnsi="新細明體" w:hint="eastAsia"/>
                <w:sz w:val="26"/>
                <w:szCs w:val="26"/>
                <w:u w:val="single"/>
              </w:rPr>
              <w:t>受破產之宣告，尚未復權者。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八、</w:t>
            </w:r>
            <w:r>
              <w:rPr>
                <w:rFonts w:ascii="新細明體" w:eastAsia="新細明體" w:hAnsi="新細明體" w:hint="eastAsia"/>
                <w:sz w:val="26"/>
                <w:szCs w:val="26"/>
                <w:u w:val="single"/>
              </w:rPr>
              <w:t>曾任法人宣告破產時之負責人或董事，破產終結尚未逾五年，或</w:t>
            </w:r>
            <w:proofErr w:type="gramStart"/>
            <w:r>
              <w:rPr>
                <w:rFonts w:ascii="新細明體" w:eastAsia="新細明體" w:hAnsi="新細明體" w:hint="eastAsia"/>
                <w:sz w:val="26"/>
                <w:szCs w:val="26"/>
                <w:u w:val="single"/>
              </w:rPr>
              <w:t>調協未</w:t>
            </w:r>
            <w:proofErr w:type="gramEnd"/>
            <w:r>
              <w:rPr>
                <w:rFonts w:ascii="新細明體" w:eastAsia="新細明體" w:hAnsi="新細明體" w:hint="eastAsia"/>
                <w:sz w:val="26"/>
                <w:szCs w:val="26"/>
                <w:u w:val="single"/>
              </w:rPr>
              <w:t>履行者。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九、</w:t>
            </w:r>
            <w:r>
              <w:rPr>
                <w:rFonts w:ascii="新細明體" w:eastAsia="新細明體" w:hAnsi="新細明體" w:hint="eastAsia"/>
                <w:sz w:val="26"/>
                <w:szCs w:val="26"/>
                <w:u w:val="single"/>
              </w:rPr>
              <w:t>使用票據經拒絕往來尚未恢復往來者，或恢復往來後三年內仍有存款不足退票之紀錄者。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lastRenderedPageBreak/>
              <w:t>十、</w:t>
            </w:r>
            <w:r>
              <w:rPr>
                <w:rFonts w:ascii="新細明體" w:eastAsia="新細明體" w:hAnsi="新細明體" w:hint="eastAsia"/>
                <w:sz w:val="26"/>
                <w:szCs w:val="26"/>
                <w:u w:val="single"/>
              </w:rPr>
              <w:t>有重大喪失債信情事尚未了結、或了結後尚未逾五年者。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十一、</w:t>
            </w:r>
            <w:r>
              <w:rPr>
                <w:rFonts w:ascii="新細明體" w:eastAsia="新細明體" w:hAnsi="新細明體" w:hint="eastAsia"/>
                <w:sz w:val="26"/>
                <w:szCs w:val="26"/>
                <w:u w:val="single"/>
              </w:rPr>
              <w:t>因違反證券投資信託及顧問法、銀行法、金融控股公司法、信託業法、票</w:t>
            </w:r>
            <w:proofErr w:type="gramStart"/>
            <w:r>
              <w:rPr>
                <w:rFonts w:ascii="新細明體" w:eastAsia="新細明體" w:hAnsi="新細明體" w:hint="eastAsia"/>
                <w:sz w:val="26"/>
                <w:szCs w:val="26"/>
                <w:u w:val="single"/>
              </w:rPr>
              <w:t>券</w:t>
            </w:r>
            <w:proofErr w:type="gramEnd"/>
            <w:r>
              <w:rPr>
                <w:rFonts w:ascii="新細明體" w:eastAsia="新細明體" w:hAnsi="新細明體" w:hint="eastAsia"/>
                <w:sz w:val="26"/>
                <w:szCs w:val="26"/>
                <w:u w:val="single"/>
              </w:rPr>
              <w:t>金融管理法、金融資產證券化條例、不動產證券化條例、保險法、證券交易法、期貨交易法、信用合作社法、農業金融法、農會法、漁會法或其他金融管理法律，經主管機關命令撤換或解任，尚未逾五年者。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十二、</w:t>
            </w:r>
            <w:r>
              <w:rPr>
                <w:rFonts w:ascii="新細明體" w:eastAsia="新細明體" w:hAnsi="新細明體" w:hint="eastAsia"/>
                <w:sz w:val="26"/>
                <w:szCs w:val="26"/>
                <w:u w:val="single"/>
              </w:rPr>
              <w:t>受感訓處分之裁定確定或因犯竊盜、贓物罪，受強制工作處分之宣告，尚未執行完畢，或執行完畢尚未逾五年者。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十三、</w:t>
            </w:r>
            <w:r>
              <w:rPr>
                <w:rFonts w:ascii="新細明體" w:eastAsia="新細明體" w:hAnsi="新細明體" w:hint="eastAsia"/>
                <w:sz w:val="26"/>
                <w:szCs w:val="26"/>
                <w:u w:val="single"/>
              </w:rPr>
              <w:t>現任證券投資信託事業或證券投資顧問事業之負責人、部門主管、經理人、勞工或其他利益衝突者。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十四、</w:t>
            </w:r>
            <w:r>
              <w:rPr>
                <w:rFonts w:ascii="新細明體" w:eastAsia="新細明體" w:hAnsi="新細明體" w:hint="eastAsia"/>
                <w:sz w:val="26"/>
                <w:szCs w:val="26"/>
                <w:u w:val="single"/>
              </w:rPr>
              <w:t>經委員會議決議認定有違反職務上之義務，</w:t>
            </w:r>
            <w:r>
              <w:rPr>
                <w:rFonts w:ascii="新細明體" w:eastAsia="新細明體" w:hAnsi="新細明體" w:hint="eastAsia"/>
                <w:sz w:val="26"/>
                <w:szCs w:val="26"/>
                <w:u w:val="single"/>
              </w:rPr>
              <w:lastRenderedPageBreak/>
              <w:t>情節重大或不適任者。</w:t>
            </w:r>
          </w:p>
        </w:tc>
        <w:tc>
          <w:tcPr>
            <w:tcW w:w="3043" w:type="dxa"/>
          </w:tcPr>
          <w:p w:rsidR="00BF5B10" w:rsidRDefault="00BF5B10">
            <w:pPr>
              <w:spacing w:line="315" w:lineRule="exact"/>
              <w:ind w:leftChars="50" w:left="120" w:rightChars="50" w:right="120"/>
              <w:rPr>
                <w:rFonts w:ascii="新細明體" w:eastAsia="新細明體" w:hAnsi="新細明體"/>
                <w:sz w:val="26"/>
                <w:szCs w:val="26"/>
              </w:rPr>
            </w:pP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u w:val="single"/>
              </w:rPr>
            </w:pPr>
            <w:r>
              <w:rPr>
                <w:rFonts w:ascii="新細明體" w:eastAsia="新細明體" w:hAnsi="新細明體" w:hint="eastAsia"/>
                <w:sz w:val="26"/>
                <w:szCs w:val="26"/>
                <w:u w:val="single"/>
              </w:rPr>
              <w:t>本條新增。</w:t>
            </w:r>
          </w:p>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參考勞工退休基金監理委員會組織法第七條規定增修。</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第八條　（旋轉門條款）</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本會之主任委員暨副主任委員暨依本法第8、10、15條任用之主管人員，於任職期間至離職或退休日起五年內之財產應依公職人員財產申報法申報公告，且不得擔（兼）任任何與金融或以投資為業務範圍之公司或團體相關職務，或支領前述公司或團體所給付之任何報酬。</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前項所稱公司或團體不含政府單位或政府持有股權超過50%以上者。</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除第一項人員外，因處理本會之業務，而擔任本會任何相關職務，且對本會基金投資方式或標的有決策權者，皆應依本條規定辦理。</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因擔任或從事本會基金投資或管理相關業務所知悉之相關資訊，未依法令規定提供他人或為圖利自己之行為者，委員會應依刑法相關規定究責，其前該行為肇</w:t>
            </w:r>
            <w:r>
              <w:rPr>
                <w:rFonts w:ascii="新細明體" w:eastAsia="新細明體" w:hAnsi="新細明體" w:hint="eastAsia"/>
                <w:sz w:val="26"/>
                <w:szCs w:val="26"/>
                <w:u w:val="single"/>
              </w:rPr>
              <w:lastRenderedPageBreak/>
              <w:t>致基金有損失者，並應依法追究其賠償責任。</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前項所稱不得提供他人之資訊之保密</w:t>
            </w:r>
            <w:proofErr w:type="gramStart"/>
            <w:r>
              <w:rPr>
                <w:rFonts w:ascii="新細明體" w:eastAsia="新細明體" w:hAnsi="新細明體" w:hint="eastAsia"/>
                <w:sz w:val="26"/>
                <w:szCs w:val="26"/>
                <w:u w:val="single"/>
              </w:rPr>
              <w:t>期間，</w:t>
            </w:r>
            <w:proofErr w:type="gramEnd"/>
            <w:r>
              <w:rPr>
                <w:rFonts w:ascii="新細明體" w:eastAsia="新細明體" w:hAnsi="新細明體" w:hint="eastAsia"/>
                <w:sz w:val="26"/>
                <w:szCs w:val="26"/>
                <w:u w:val="single"/>
              </w:rPr>
              <w:t>於</w:t>
            </w:r>
            <w:proofErr w:type="gramStart"/>
            <w:r>
              <w:rPr>
                <w:rFonts w:ascii="新細明體" w:eastAsia="新細明體" w:hAnsi="新細明體" w:hint="eastAsia"/>
                <w:sz w:val="26"/>
                <w:szCs w:val="26"/>
                <w:u w:val="single"/>
              </w:rPr>
              <w:t>第一項同</w:t>
            </w:r>
            <w:proofErr w:type="gramEnd"/>
            <w:r>
              <w:rPr>
                <w:rFonts w:ascii="新細明體" w:eastAsia="新細明體" w:hAnsi="新細明體" w:hint="eastAsia"/>
                <w:sz w:val="26"/>
                <w:szCs w:val="26"/>
                <w:u w:val="single"/>
              </w:rPr>
              <w:t>。</w:t>
            </w:r>
          </w:p>
        </w:tc>
        <w:tc>
          <w:tcPr>
            <w:tcW w:w="3043" w:type="dxa"/>
          </w:tcPr>
          <w:p w:rsidR="00BF5B10" w:rsidRDefault="00BF5B10">
            <w:pPr>
              <w:spacing w:line="315" w:lineRule="exact"/>
              <w:ind w:leftChars="50" w:left="120" w:rightChars="50" w:right="120"/>
              <w:rPr>
                <w:rFonts w:ascii="新細明體" w:eastAsia="新細明體" w:hAnsi="新細明體"/>
                <w:sz w:val="26"/>
                <w:szCs w:val="26"/>
              </w:rPr>
            </w:pP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本條新增。</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第九條　本會下設各組、室，分別掌理第三條所列事務，受主任委員之指揮：</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一、業務組。</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二、財務組。</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三、資訊室。</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本會設稽核組，直接向主任委員負責。掌理以下事項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一、</w:t>
            </w:r>
            <w:r>
              <w:rPr>
                <w:rFonts w:ascii="新細明體" w:eastAsia="新細明體" w:hAnsi="新細明體" w:hint="eastAsia"/>
                <w:sz w:val="26"/>
                <w:szCs w:val="26"/>
                <w:u w:val="single"/>
              </w:rPr>
              <w:t>本基金控管程序及稽核檢查作業之訂定。</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二、</w:t>
            </w:r>
            <w:r>
              <w:rPr>
                <w:rFonts w:ascii="新細明體" w:eastAsia="新細明體" w:hAnsi="新細明體" w:hint="eastAsia"/>
                <w:sz w:val="26"/>
                <w:szCs w:val="26"/>
                <w:u w:val="single"/>
              </w:rPr>
              <w:t>本基金年度稽核計畫之訂定及執行。</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三、</w:t>
            </w:r>
            <w:r>
              <w:rPr>
                <w:rFonts w:ascii="新細明體" w:eastAsia="新細明體" w:hAnsi="新細明體" w:hint="eastAsia"/>
                <w:sz w:val="26"/>
                <w:szCs w:val="26"/>
                <w:u w:val="single"/>
              </w:rPr>
              <w:t>本基金委託經營之監督及考核。</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四、</w:t>
            </w:r>
            <w:r>
              <w:rPr>
                <w:rFonts w:ascii="新細明體" w:eastAsia="新細明體" w:hAnsi="新細明體" w:hint="eastAsia"/>
                <w:sz w:val="26"/>
                <w:szCs w:val="26"/>
                <w:u w:val="single"/>
              </w:rPr>
              <w:t>本基金管理法令之執行及稽查。</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五、</w:t>
            </w:r>
            <w:r>
              <w:rPr>
                <w:rFonts w:ascii="新細明體" w:eastAsia="新細明體" w:hAnsi="新細明體" w:hint="eastAsia"/>
                <w:sz w:val="26"/>
                <w:szCs w:val="26"/>
                <w:u w:val="single"/>
              </w:rPr>
              <w:t>本基金委託經營績效之監督及考核事項。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六、</w:t>
            </w:r>
            <w:r>
              <w:rPr>
                <w:rFonts w:ascii="新細明體" w:eastAsia="新細明體" w:hAnsi="新細明體" w:hint="eastAsia"/>
                <w:sz w:val="26"/>
                <w:szCs w:val="26"/>
                <w:u w:val="single"/>
              </w:rPr>
              <w:t>其他經委員會決議之特定稽核工作。</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第四條　本會設業務組及稽察組，分別掌理前條所列各款業務。</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參考公務人員退休撫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基金管理委員會組織條例第四條規定訂定，並對稽核稽察工作加以整合並予以提昇位階。</w:t>
            </w:r>
          </w:p>
        </w:tc>
      </w:tr>
      <w:tr w:rsidR="00BF5B10" w:rsidTr="00582241">
        <w:tc>
          <w:tcPr>
            <w:tcW w:w="3042" w:type="dxa"/>
            <w:hideMark/>
          </w:tcPr>
          <w:p w:rsidR="00BF5B10" w:rsidRDefault="00BF5B10">
            <w:pPr>
              <w:spacing w:line="315" w:lineRule="exact"/>
              <w:ind w:leftChars="50" w:left="216" w:rightChars="50" w:right="120" w:hangingChars="100" w:hanging="96"/>
              <w:rPr>
                <w:rFonts w:ascii="新細明體" w:eastAsia="新細明體" w:hAnsi="新細明體"/>
                <w:sz w:val="26"/>
                <w:szCs w:val="26"/>
              </w:rPr>
            </w:pPr>
            <w:r>
              <w:rPr>
                <w:rFonts w:ascii="Times New Roman" w:eastAsia="華康細明體" w:hAnsi="Times New Roman" w:hint="eastAsia"/>
                <w:noProof/>
                <w:sz w:val="21"/>
                <w:szCs w:val="24"/>
              </w:rPr>
              <mc:AlternateContent>
                <mc:Choice Requires="wps">
                  <w:drawing>
                    <wp:anchor distT="0" distB="0" distL="114300" distR="114300" simplePos="0" relativeHeight="251661312" behindDoc="0" locked="0" layoutInCell="1" allowOverlap="1">
                      <wp:simplePos x="0" y="0"/>
                      <wp:positionH relativeFrom="column">
                        <wp:posOffset>-27940</wp:posOffset>
                      </wp:positionH>
                      <wp:positionV relativeFrom="paragraph">
                        <wp:posOffset>817880</wp:posOffset>
                      </wp:positionV>
                      <wp:extent cx="5814060" cy="0"/>
                      <wp:effectExtent l="10160" t="8255" r="5080" b="1079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D6515" id="直線接點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4.4pt" to="455.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DDLAIAADAEAAAOAAAAZHJzL2Uyb0RvYy54bWysU8GO0zAQvSPxD1bubZJuWrp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" strokeweight=".5pt"/>
                  </w:pict>
                </mc:Fallback>
              </mc:AlternateContent>
            </w:r>
            <w:r>
              <w:rPr>
                <w:rFonts w:ascii="新細明體" w:eastAsia="新細明體" w:hAnsi="新細明體" w:hint="eastAsia"/>
                <w:sz w:val="26"/>
                <w:szCs w:val="26"/>
              </w:rPr>
              <w:t>第十條　本會設秘書室掌理議事、文書、印信、庶務、出納、公共關係及不屬各組</w:t>
            </w:r>
            <w:r>
              <w:rPr>
                <w:rFonts w:ascii="新細明體" w:eastAsia="新細明體" w:hAnsi="新細明體" w:hint="eastAsia"/>
                <w:sz w:val="26"/>
                <w:szCs w:val="26"/>
              </w:rPr>
              <w:lastRenderedPageBreak/>
              <w:t>室事項。</w:t>
            </w:r>
          </w:p>
        </w:tc>
        <w:tc>
          <w:tcPr>
            <w:tcW w:w="3043" w:type="dxa"/>
          </w:tcPr>
          <w:p w:rsidR="00BF5B10" w:rsidRDefault="00BF5B10">
            <w:pPr>
              <w:spacing w:line="315" w:lineRule="exact"/>
              <w:ind w:leftChars="50" w:left="120" w:rightChars="50" w:right="120"/>
              <w:rPr>
                <w:rFonts w:ascii="新細明體" w:eastAsia="新細明體" w:hAnsi="新細明體"/>
                <w:sz w:val="26"/>
                <w:szCs w:val="26"/>
              </w:rPr>
            </w:pP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參考公務人員退休撫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基金管理委員會組織條例第五條規定訂定。</w:t>
            </w:r>
          </w:p>
        </w:tc>
      </w:tr>
      <w:tr w:rsidR="00BF5B10" w:rsidTr="00582241">
        <w:tc>
          <w:tcPr>
            <w:tcW w:w="3042" w:type="dxa"/>
            <w:hideMark/>
          </w:tcPr>
          <w:p w:rsidR="00BF5B10" w:rsidRDefault="00BF5B10">
            <w:pPr>
              <w:spacing w:line="315" w:lineRule="exact"/>
              <w:ind w:leftChars="50" w:left="216" w:rightChars="50" w:right="120" w:hangingChars="100" w:hanging="96"/>
              <w:rPr>
                <w:rFonts w:ascii="新細明體" w:eastAsia="新細明體" w:hAnsi="新細明體"/>
                <w:sz w:val="26"/>
                <w:szCs w:val="26"/>
              </w:rPr>
            </w:pPr>
            <w:r>
              <w:rPr>
                <w:rFonts w:ascii="Times New Roman" w:eastAsia="華康細明體" w:hAnsi="Times New Roman" w:hint="eastAsia"/>
                <w:noProof/>
                <w:sz w:val="21"/>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-17780</wp:posOffset>
                      </wp:positionV>
                      <wp:extent cx="5814060" cy="0"/>
                      <wp:effectExtent l="8255" t="10795" r="6985" b="825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DA2A5" id="直線接點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4pt" to="45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" strokeweight=".5pt"/>
                  </w:pict>
                </mc:Fallback>
              </mc:AlternateContent>
            </w:r>
            <w:r>
              <w:rPr>
                <w:rFonts w:ascii="新細明體" w:eastAsia="新細明體" w:hAnsi="新細明體" w:hint="eastAsia"/>
                <w:sz w:val="26"/>
                <w:szCs w:val="26"/>
              </w:rPr>
              <w:t xml:space="preserve">第十一條　</w:t>
            </w:r>
            <w:r>
              <w:rPr>
                <w:rFonts w:ascii="新細明體" w:eastAsia="新細明體" w:hAnsi="新細明體" w:hint="eastAsia"/>
                <w:sz w:val="26"/>
                <w:szCs w:val="26"/>
                <w:u w:val="single"/>
              </w:rPr>
              <w:t>本會置執行秘書一人，職務列簡任第十二職等至第十三職等；副執行秘書兩人，職務列簡任第十一職等至第十二職等；組長三人，職務列簡任第十一職等至第十二職等；專門委員四人至五人，職務列簡任第十職等至第十一職等；稽核八至十四人，</w:t>
            </w:r>
            <w:proofErr w:type="gramStart"/>
            <w:r>
              <w:rPr>
                <w:rFonts w:ascii="新細明體" w:eastAsia="新細明體" w:hAnsi="新細明體" w:hint="eastAsia"/>
                <w:sz w:val="26"/>
                <w:szCs w:val="26"/>
                <w:u w:val="single"/>
              </w:rPr>
              <w:t>職務列薦任</w:t>
            </w:r>
            <w:proofErr w:type="gramEnd"/>
            <w:r>
              <w:rPr>
                <w:rFonts w:ascii="新細明體" w:eastAsia="新細明體" w:hAnsi="新細明體" w:hint="eastAsia"/>
                <w:sz w:val="26"/>
                <w:szCs w:val="26"/>
                <w:u w:val="single"/>
              </w:rPr>
              <w:t>第八職等至第九職等，其中二至三人，得列簡任第十職等至第十一職等；科長六人至八人，</w:t>
            </w:r>
            <w:proofErr w:type="gramStart"/>
            <w:r>
              <w:rPr>
                <w:rFonts w:ascii="新細明體" w:eastAsia="新細明體" w:hAnsi="新細明體" w:hint="eastAsia"/>
                <w:sz w:val="26"/>
                <w:szCs w:val="26"/>
                <w:u w:val="single"/>
              </w:rPr>
              <w:t>職務列薦任</w:t>
            </w:r>
            <w:proofErr w:type="gramEnd"/>
            <w:r>
              <w:rPr>
                <w:rFonts w:ascii="新細明體" w:eastAsia="新細明體" w:hAnsi="新細明體" w:hint="eastAsia"/>
                <w:sz w:val="26"/>
                <w:szCs w:val="26"/>
                <w:u w:val="single"/>
              </w:rPr>
              <w:t>第九職等；系統分析師一人，</w:t>
            </w:r>
            <w:proofErr w:type="gramStart"/>
            <w:r>
              <w:rPr>
                <w:rFonts w:ascii="新細明體" w:eastAsia="新細明體" w:hAnsi="新細明體" w:hint="eastAsia"/>
                <w:sz w:val="26"/>
                <w:szCs w:val="26"/>
                <w:u w:val="single"/>
              </w:rPr>
              <w:t>職務列薦任</w:t>
            </w:r>
            <w:proofErr w:type="gramEnd"/>
            <w:r>
              <w:rPr>
                <w:rFonts w:ascii="新細明體" w:eastAsia="新細明體" w:hAnsi="新細明體" w:hint="eastAsia"/>
                <w:sz w:val="26"/>
                <w:szCs w:val="26"/>
                <w:u w:val="single"/>
              </w:rPr>
              <w:t>第七職等至第九職等；專員六人至十四人，聯</w:t>
            </w:r>
            <w:proofErr w:type="gramStart"/>
            <w:r>
              <w:rPr>
                <w:rFonts w:ascii="新細明體" w:eastAsia="新細明體" w:hAnsi="新細明體" w:hint="eastAsia"/>
                <w:sz w:val="26"/>
                <w:szCs w:val="26"/>
                <w:u w:val="single"/>
              </w:rPr>
              <w:t>務列薦</w:t>
            </w:r>
            <w:proofErr w:type="gramEnd"/>
            <w:r>
              <w:rPr>
                <w:rFonts w:ascii="新細明體" w:eastAsia="新細明體" w:hAnsi="新細明體" w:hint="eastAsia"/>
                <w:sz w:val="26"/>
                <w:szCs w:val="26"/>
                <w:u w:val="single"/>
              </w:rPr>
              <w:t>任第七職等至第八職等；程式設計師二人，</w:t>
            </w:r>
            <w:proofErr w:type="gramStart"/>
            <w:r>
              <w:rPr>
                <w:rFonts w:ascii="新細明體" w:eastAsia="新細明體" w:hAnsi="新細明體" w:hint="eastAsia"/>
                <w:sz w:val="26"/>
                <w:szCs w:val="26"/>
                <w:u w:val="single"/>
              </w:rPr>
              <w:t>職務列薦任</w:t>
            </w:r>
            <w:proofErr w:type="gramEnd"/>
            <w:r>
              <w:rPr>
                <w:rFonts w:ascii="新細明體" w:eastAsia="新細明體" w:hAnsi="新細明體" w:hint="eastAsia"/>
                <w:sz w:val="26"/>
                <w:szCs w:val="26"/>
                <w:u w:val="single"/>
              </w:rPr>
              <w:t>第六職等至第八職等；科員二十四人至三十人，職務列委任第四職等至第五職等，其中十人至十三人</w:t>
            </w:r>
            <w:proofErr w:type="gramStart"/>
            <w:r>
              <w:rPr>
                <w:rFonts w:ascii="新細明體" w:eastAsia="新細明體" w:hAnsi="新細明體" w:hint="eastAsia"/>
                <w:sz w:val="26"/>
                <w:szCs w:val="26"/>
                <w:u w:val="single"/>
              </w:rPr>
              <w:t>得列薦任</w:t>
            </w:r>
            <w:proofErr w:type="gramEnd"/>
            <w:r>
              <w:rPr>
                <w:rFonts w:ascii="新細明體" w:eastAsia="新細明體" w:hAnsi="新細明體" w:hint="eastAsia"/>
                <w:sz w:val="26"/>
                <w:szCs w:val="26"/>
                <w:u w:val="single"/>
              </w:rPr>
              <w:t>第六職等至第七職等；助理程式設計師二人，職務列委任第四職等至第五職等；稽察員三人至四人，職務列委任第四職等至第五職等，其中一人至二人，</w:t>
            </w:r>
            <w:proofErr w:type="gramStart"/>
            <w:r>
              <w:rPr>
                <w:rFonts w:ascii="新細明體" w:eastAsia="新細明體" w:hAnsi="新細明體" w:hint="eastAsia"/>
                <w:sz w:val="26"/>
                <w:szCs w:val="26"/>
                <w:u w:val="single"/>
              </w:rPr>
              <w:t>得列薦任</w:t>
            </w:r>
            <w:proofErr w:type="gramEnd"/>
            <w:r>
              <w:rPr>
                <w:rFonts w:ascii="新細明體" w:eastAsia="新細明體" w:hAnsi="新細明體" w:hint="eastAsia"/>
                <w:sz w:val="26"/>
                <w:szCs w:val="26"/>
                <w:u w:val="single"/>
              </w:rPr>
              <w:t>第六職等至第七職等；助理</w:t>
            </w:r>
            <w:r>
              <w:rPr>
                <w:rFonts w:ascii="新細明體" w:eastAsia="新細明體" w:hAnsi="新細明體" w:hint="eastAsia"/>
                <w:sz w:val="26"/>
                <w:szCs w:val="26"/>
                <w:u w:val="single"/>
              </w:rPr>
              <w:lastRenderedPageBreak/>
              <w:t>員六人至十人，職務列委任第三職等至第五職等；書記六人至九人，職務列委任第一職等至第三職等。</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第六條　本會置執行秘書一人，職務列簡任第十二職等至第十三職等；副執行秘書一人，職務列簡任第十一職等至第十二職等；組長二人，職務列簡任第十一職等至第十二職等；專門委員一人至二人，職務列簡任第十職等至第十一職等；稽核三人至四人，</w:t>
            </w:r>
            <w:proofErr w:type="gramStart"/>
            <w:r>
              <w:rPr>
                <w:rFonts w:ascii="新細明體" w:eastAsia="新細明體" w:hAnsi="新細明體" w:hint="eastAsia"/>
                <w:sz w:val="26"/>
                <w:szCs w:val="26"/>
              </w:rPr>
              <w:t>職務列薦任</w:t>
            </w:r>
            <w:proofErr w:type="gramEnd"/>
            <w:r>
              <w:rPr>
                <w:rFonts w:ascii="新細明體" w:eastAsia="新細明體" w:hAnsi="新細明體" w:hint="eastAsia"/>
                <w:sz w:val="26"/>
                <w:szCs w:val="26"/>
              </w:rPr>
              <w:t>第八職等至第九職等，其中一人至二人，得列簡任第十職等至第十一職等；視察一人至二人，</w:t>
            </w:r>
            <w:proofErr w:type="gramStart"/>
            <w:r>
              <w:rPr>
                <w:rFonts w:ascii="新細明體" w:eastAsia="新細明體" w:hAnsi="新細明體" w:hint="eastAsia"/>
                <w:sz w:val="26"/>
                <w:szCs w:val="26"/>
              </w:rPr>
              <w:t>職務列薦任</w:t>
            </w:r>
            <w:proofErr w:type="gramEnd"/>
            <w:r>
              <w:rPr>
                <w:rFonts w:ascii="新細明體" w:eastAsia="新細明體" w:hAnsi="新細明體" w:hint="eastAsia"/>
                <w:sz w:val="26"/>
                <w:szCs w:val="26"/>
              </w:rPr>
              <w:t>第八職等至第九職等；專員三人至四人，</w:t>
            </w:r>
            <w:proofErr w:type="gramStart"/>
            <w:r>
              <w:rPr>
                <w:rFonts w:ascii="新細明體" w:eastAsia="新細明體" w:hAnsi="新細明體" w:hint="eastAsia"/>
                <w:sz w:val="26"/>
                <w:szCs w:val="26"/>
              </w:rPr>
              <w:t>職務列薦任</w:t>
            </w:r>
            <w:proofErr w:type="gramEnd"/>
            <w:r>
              <w:rPr>
                <w:rFonts w:ascii="新細明體" w:eastAsia="新細明體" w:hAnsi="新細明體" w:hint="eastAsia"/>
                <w:sz w:val="26"/>
                <w:szCs w:val="26"/>
              </w:rPr>
              <w:t>第七職等至第九職等；組員六人至八人，職務列委任第五職等，其中三人至四人，</w:t>
            </w:r>
            <w:proofErr w:type="gramStart"/>
            <w:r>
              <w:rPr>
                <w:rFonts w:ascii="新細明體" w:eastAsia="新細明體" w:hAnsi="新細明體" w:hint="eastAsia"/>
                <w:sz w:val="26"/>
                <w:szCs w:val="26"/>
              </w:rPr>
              <w:t>得列薦任</w:t>
            </w:r>
            <w:proofErr w:type="gramEnd"/>
            <w:r>
              <w:rPr>
                <w:rFonts w:ascii="新細明體" w:eastAsia="新細明體" w:hAnsi="新細明體" w:hint="eastAsia"/>
                <w:sz w:val="26"/>
                <w:szCs w:val="26"/>
              </w:rPr>
              <w:t>第六職等至第七職等；稽察員三人至四人，職務列委任第四職等至第五職等，其中一人至二人，</w:t>
            </w:r>
            <w:proofErr w:type="gramStart"/>
            <w:r>
              <w:rPr>
                <w:rFonts w:ascii="新細明體" w:eastAsia="新細明體" w:hAnsi="新細明體" w:hint="eastAsia"/>
                <w:sz w:val="26"/>
                <w:szCs w:val="26"/>
              </w:rPr>
              <w:t>得列薦任</w:t>
            </w:r>
            <w:proofErr w:type="gramEnd"/>
            <w:r>
              <w:rPr>
                <w:rFonts w:ascii="新細明體" w:eastAsia="新細明體" w:hAnsi="新細明體" w:hint="eastAsia"/>
                <w:sz w:val="26"/>
                <w:szCs w:val="26"/>
              </w:rPr>
              <w:t>第六職等至第七職等；助理員二人至四人，職務列委任第三職等至第五職等；書記二人至三人，職務列委任第</w:t>
            </w:r>
            <w:r>
              <w:rPr>
                <w:rFonts w:ascii="新細明體" w:eastAsia="新細明體" w:hAnsi="新細明體" w:hint="eastAsia"/>
                <w:sz w:val="26"/>
                <w:szCs w:val="26"/>
              </w:rPr>
              <w:lastRenderedPageBreak/>
              <w:t>一職等至第三職等。</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lastRenderedPageBreak/>
              <w:t>參考公務人員退休撫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基金管理委員會組織條例第八條及監理委員會組織條例第六條規定整</w:t>
            </w:r>
            <w:proofErr w:type="gramStart"/>
            <w:r>
              <w:rPr>
                <w:rFonts w:ascii="新細明體" w:eastAsia="新細明體" w:hAnsi="新細明體" w:hint="eastAsia"/>
                <w:sz w:val="26"/>
                <w:szCs w:val="26"/>
              </w:rPr>
              <w:t>併</w:t>
            </w:r>
            <w:proofErr w:type="gramEnd"/>
            <w:r>
              <w:rPr>
                <w:rFonts w:ascii="新細明體" w:eastAsia="新細明體" w:hAnsi="新細明體" w:hint="eastAsia"/>
                <w:sz w:val="26"/>
                <w:szCs w:val="26"/>
              </w:rPr>
              <w:t>訂定。</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第十二條　本會設人事室，置主任一人，</w:t>
            </w:r>
            <w:proofErr w:type="gramStart"/>
            <w:r>
              <w:rPr>
                <w:rFonts w:ascii="新細明體" w:eastAsia="新細明體" w:hAnsi="新細明體" w:hint="eastAsia"/>
                <w:sz w:val="26"/>
                <w:szCs w:val="26"/>
              </w:rPr>
              <w:t>職務列薦任</w:t>
            </w:r>
            <w:proofErr w:type="gramEnd"/>
            <w:r>
              <w:rPr>
                <w:rFonts w:ascii="新細明體" w:eastAsia="新細明體" w:hAnsi="新細明體" w:hint="eastAsia"/>
                <w:sz w:val="26"/>
                <w:szCs w:val="26"/>
              </w:rPr>
              <w:t>第九職等，依法辦理人事管理事項；其餘所需工作人員，應就本條例所定員額內派充之。</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第七條　本會人事管理、歲計、會計、統計及政風事項，由考試院派員兼辦之。</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參考公務人員退休撫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基金管理委員會組織條例第九條規定訂定。</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第十三條　本會設會計室，置會計主任一人，</w:t>
            </w:r>
            <w:proofErr w:type="gramStart"/>
            <w:r>
              <w:rPr>
                <w:rFonts w:ascii="新細明體" w:eastAsia="新細明體" w:hAnsi="新細明體" w:hint="eastAsia"/>
                <w:sz w:val="26"/>
                <w:szCs w:val="26"/>
              </w:rPr>
              <w:t>職務列薦任</w:t>
            </w:r>
            <w:proofErr w:type="gramEnd"/>
            <w:r>
              <w:rPr>
                <w:rFonts w:ascii="新細明體" w:eastAsia="新細明體" w:hAnsi="新細明體" w:hint="eastAsia"/>
                <w:sz w:val="26"/>
                <w:szCs w:val="26"/>
              </w:rPr>
              <w:t>第九職等，依法辦理歲計、會計事項，並兼辦統計事項；其餘所需工作人員，應就本條例所定員額內派充之。</w:t>
            </w:r>
          </w:p>
        </w:tc>
        <w:tc>
          <w:tcPr>
            <w:tcW w:w="3043" w:type="dxa"/>
          </w:tcPr>
          <w:p w:rsidR="00BF5B10" w:rsidRDefault="00BF5B10">
            <w:pPr>
              <w:spacing w:line="315" w:lineRule="exact"/>
              <w:ind w:leftChars="50" w:left="120" w:rightChars="50" w:right="120"/>
              <w:rPr>
                <w:rFonts w:ascii="新細明體" w:eastAsia="新細明體" w:hAnsi="新細明體"/>
                <w:sz w:val="26"/>
                <w:szCs w:val="26"/>
              </w:rPr>
            </w:pP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參考公務人員退休撫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基金管理委員會組織條例第十條規定訂定。</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第十四條　第四條及第八條至第十條所定各職稱列有官等職等人員，其職務所適用之職系，依公務人員任用法第八條之規定，就有關職系選用之。</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第八條　第六條所定各職稱列有官等職等人員，其職務所適用之職系，依公務人員任用法第八條之規定，就有關職系選用之。</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參考公務人員退休撫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基金管理委員會組織條例第十一條規定訂定。</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第十五條　（會議召集）</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本會每月召開委員會議一次，必要時得舉行臨時會議，由主任委員召集，並為主席，主任委員未能出席時，由副主任委員代理，</w:t>
            </w:r>
            <w:proofErr w:type="gramStart"/>
            <w:r>
              <w:rPr>
                <w:rFonts w:ascii="新細明體" w:eastAsia="新細明體" w:hAnsi="新細明體" w:hint="eastAsia"/>
                <w:sz w:val="26"/>
                <w:szCs w:val="26"/>
                <w:u w:val="single"/>
              </w:rPr>
              <w:t>若副主任委</w:t>
            </w:r>
            <w:r>
              <w:rPr>
                <w:rFonts w:ascii="新細明體" w:eastAsia="新細明體" w:hAnsi="新細明體" w:hint="eastAsia"/>
                <w:sz w:val="26"/>
                <w:szCs w:val="26"/>
                <w:u w:val="single"/>
              </w:rPr>
              <w:lastRenderedPageBreak/>
              <w:t>員</w:t>
            </w:r>
            <w:proofErr w:type="gramEnd"/>
            <w:r>
              <w:rPr>
                <w:rFonts w:ascii="新細明體" w:eastAsia="新細明體" w:hAnsi="新細明體" w:hint="eastAsia"/>
                <w:sz w:val="26"/>
                <w:szCs w:val="26"/>
                <w:u w:val="single"/>
              </w:rPr>
              <w:t>亦無法出席，則由與會委員互相推選主席。</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委員應親自出席會議，不得委託他人代理出席。</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經三分之一以上委員，以書面記明討論之議案及理由，提請召開委員會議。主任委員應於收到書面後三日內即召集會議。</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開會須有三分之二以上委員出席，其中各團體及政府機關所推薦之委員，應至少各有一人以上出席。決議事項應經出席委員過半數同意行之。</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本會開會時，得邀請學者、專家及與議決事項有關之機關（構）及單位派員列席，陳述事實或提供意見。</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本會會議紀錄除必須保密之事項外，應予公開。</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第十一條　本會每三月舉行會議一次，必要時得召開臨時會議。</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前項會議由主任委員擔任主席，主任委員不能出席時，得由主任委員指定委員一人代理之。必要時得邀請</w:t>
            </w:r>
            <w:r>
              <w:rPr>
                <w:rFonts w:ascii="新細明體" w:eastAsia="新細明體" w:hAnsi="新細明體" w:hint="eastAsia"/>
                <w:sz w:val="26"/>
                <w:szCs w:val="26"/>
              </w:rPr>
              <w:lastRenderedPageBreak/>
              <w:t>有關人員列席。</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lastRenderedPageBreak/>
              <w:t>參考勞工退休基金監理委員會組織法第九條規定增修。</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 xml:space="preserve">第十六條　</w:t>
            </w:r>
            <w:r>
              <w:rPr>
                <w:rFonts w:ascii="新細明體" w:eastAsia="新細明體" w:hAnsi="新細明體" w:hint="eastAsia"/>
                <w:sz w:val="26"/>
                <w:szCs w:val="26"/>
                <w:u w:val="single"/>
              </w:rPr>
              <w:t>本會因業務需要，得依聘用人員聘用條例之規定，聘用對金融商品、衍生性金融商品、資產證券化、投資銀行、融資性租賃、期貨、精算及資訊科技等有專門研究之資深人員</w:t>
            </w:r>
            <w:r>
              <w:rPr>
                <w:rFonts w:ascii="新細明體" w:eastAsia="新細明體" w:hAnsi="新細明體" w:hint="eastAsia"/>
                <w:sz w:val="26"/>
                <w:szCs w:val="26"/>
                <w:u w:val="single"/>
              </w:rPr>
              <w:lastRenderedPageBreak/>
              <w:t>十人至二十人。</w:t>
            </w:r>
          </w:p>
        </w:tc>
        <w:tc>
          <w:tcPr>
            <w:tcW w:w="3043" w:type="dxa"/>
          </w:tcPr>
          <w:p w:rsidR="00BF5B10" w:rsidRDefault="00BF5B10">
            <w:pPr>
              <w:spacing w:line="315" w:lineRule="exact"/>
              <w:ind w:leftChars="50" w:left="120" w:rightChars="50" w:right="120"/>
              <w:rPr>
                <w:rFonts w:ascii="新細明體" w:eastAsia="新細明體" w:hAnsi="新細明體"/>
                <w:sz w:val="26"/>
                <w:szCs w:val="26"/>
              </w:rPr>
            </w:pP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u w:val="single"/>
              </w:rPr>
            </w:pPr>
            <w:r>
              <w:rPr>
                <w:rFonts w:ascii="新細明體" w:eastAsia="新細明體" w:hAnsi="新細明體" w:hint="eastAsia"/>
                <w:sz w:val="26"/>
                <w:szCs w:val="26"/>
                <w:u w:val="single"/>
              </w:rPr>
              <w:t>本條新增。</w:t>
            </w:r>
          </w:p>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參考行政院金融監督管理委員會組織法第三十三條規定增修。</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lastRenderedPageBreak/>
              <w:t>第十七條　（績效獎金）</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本會得發放績效獎金，其發放額度為依本基金歷次精算預設年度平均報酬率之超出部份，再扣除依本條例第五條第三項之補足差額準備後之5%至20%，其分配基準由本會擬定，報考試院會銜行政院核定之。</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本會委員及未參與本會主管基金之投資管理或研究者，及非本會內部人員，不得參與分配支領前項績效獎金。</w:t>
            </w:r>
          </w:p>
        </w:tc>
        <w:tc>
          <w:tcPr>
            <w:tcW w:w="3043" w:type="dxa"/>
          </w:tcPr>
          <w:p w:rsidR="00BF5B10" w:rsidRDefault="00BF5B10">
            <w:pPr>
              <w:spacing w:line="315" w:lineRule="exact"/>
              <w:ind w:leftChars="50" w:left="120" w:rightChars="50" w:right="120"/>
              <w:rPr>
                <w:rFonts w:ascii="新細明體" w:eastAsia="新細明體" w:hAnsi="新細明體"/>
                <w:sz w:val="26"/>
                <w:szCs w:val="26"/>
              </w:rPr>
            </w:pP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u w:val="single"/>
              </w:rPr>
            </w:pPr>
            <w:r>
              <w:rPr>
                <w:rFonts w:ascii="新細明體" w:eastAsia="新細明體" w:hAnsi="新細明體" w:hint="eastAsia"/>
                <w:sz w:val="26"/>
                <w:szCs w:val="26"/>
                <w:u w:val="single"/>
              </w:rPr>
              <w:t>本條新增。</w:t>
            </w:r>
          </w:p>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退撫基金之任務與一般公務機關不同，若完全適用公務體系</w:t>
            </w:r>
            <w:proofErr w:type="gramStart"/>
            <w:r>
              <w:rPr>
                <w:rFonts w:ascii="新細明體" w:eastAsia="新細明體" w:hAnsi="新細明體" w:hint="eastAsia"/>
                <w:sz w:val="26"/>
                <w:szCs w:val="26"/>
              </w:rPr>
              <w:t>之獎酬制度</w:t>
            </w:r>
            <w:proofErr w:type="gramEnd"/>
            <w:r>
              <w:rPr>
                <w:rFonts w:ascii="新細明體" w:eastAsia="新細明體" w:hAnsi="新細明體" w:hint="eastAsia"/>
                <w:sz w:val="26"/>
                <w:szCs w:val="26"/>
              </w:rPr>
              <w:t>，恐無法提昇績效，且反而造成國家財政長期的撥補負擔，</w:t>
            </w:r>
            <w:proofErr w:type="gramStart"/>
            <w:r>
              <w:rPr>
                <w:rFonts w:ascii="新細明體" w:eastAsia="新細明體" w:hAnsi="新細明體" w:hint="eastAsia"/>
                <w:sz w:val="26"/>
                <w:szCs w:val="26"/>
              </w:rPr>
              <w:t>爰</w:t>
            </w:r>
            <w:proofErr w:type="gramEnd"/>
            <w:r>
              <w:rPr>
                <w:rFonts w:ascii="新細明體" w:eastAsia="新細明體" w:hAnsi="新細明體" w:hint="eastAsia"/>
                <w:sz w:val="26"/>
                <w:szCs w:val="26"/>
              </w:rPr>
              <w:t>給予創設績效獎金法源及額度，以激勵相關人員。</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第十八條　（附則）</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本會辦事細則，由本會擬定，報考試院核定之。</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第十二條　本會辦事細則，由本會擬訂，報請考試院核定之。</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條次變更。</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第十九條　（附則）</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本條例施行日期，由考試院會同行政院以命令定之。</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第十三條　本條例施行日期，由考試院以命令定之。</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條次變更。</w:t>
            </w:r>
          </w:p>
        </w:tc>
      </w:tr>
    </w:tbl>
    <w:p w:rsidR="00BF5B10" w:rsidRDefault="00BF5B10" w:rsidP="00BF5B10">
      <w:pPr>
        <w:rPr>
          <w:rFonts w:ascii="新細明體" w:eastAsia="新細明體" w:hAnsi="新細明體" w:cs="Times New Roman"/>
          <w:noProof/>
          <w:sz w:val="26"/>
          <w:szCs w:val="26"/>
        </w:rPr>
      </w:pPr>
    </w:p>
    <w:p w:rsidR="00BF5B10" w:rsidRDefault="00BF5B10" w:rsidP="00BF5B10">
      <w:pPr>
        <w:widowControl/>
        <w:spacing w:beforeAutospacing="1" w:afterAutospacing="1"/>
        <w:rPr>
          <w:rFonts w:ascii="新細明體" w:eastAsia="新細明體" w:hAnsi="新細明體"/>
          <w:kern w:val="0"/>
          <w:sz w:val="26"/>
          <w:szCs w:val="26"/>
        </w:rPr>
        <w:sectPr w:rsidR="00BF5B10">
          <w:pgSz w:w="11906" w:h="16838"/>
          <w:pgMar w:top="1984" w:right="1417" w:bottom="1417" w:left="1417" w:header="1417" w:footer="850" w:gutter="0"/>
          <w:cols w:space="720"/>
          <w:docGrid w:type="linesAndChars" w:linePitch="335" w:charSpace="200"/>
        </w:sectPr>
      </w:pPr>
    </w:p>
    <w:p w:rsidR="00BF5B10" w:rsidRDefault="00BF5B10" w:rsidP="00582241">
      <w:pPr>
        <w:pStyle w:val="ac"/>
        <w:spacing w:after="180" w:line="500" w:lineRule="exact"/>
        <w:ind w:leftChars="0" w:left="0" w:firstLineChars="0" w:firstLine="0"/>
        <w:jc w:val="center"/>
        <w:rPr>
          <w:rFonts w:ascii="新細明體" w:eastAsia="新細明體" w:hAnsi="新細明體"/>
          <w:sz w:val="26"/>
          <w:szCs w:val="26"/>
        </w:rPr>
      </w:pPr>
      <w:r>
        <w:rPr>
          <w:rFonts w:ascii="新細明體" w:eastAsia="新細明體" w:hAnsi="新細明體" w:hint="eastAsia"/>
          <w:sz w:val="26"/>
          <w:szCs w:val="26"/>
        </w:rPr>
        <w:lastRenderedPageBreak/>
        <w:t>公務人員退休撫卹基金管理委員會組織條例</w:t>
      </w:r>
    </w:p>
    <w:p w:rsidR="00BF5B10" w:rsidRDefault="00BF5B10" w:rsidP="00BF5B10">
      <w:pPr>
        <w:pStyle w:val="a8"/>
        <w:ind w:left="1300" w:hanging="1300"/>
        <w:rPr>
          <w:rFonts w:ascii="新細明體" w:eastAsia="新細明體" w:hAnsi="新細明體"/>
          <w:sz w:val="26"/>
          <w:szCs w:val="26"/>
        </w:rPr>
      </w:pPr>
      <w:r>
        <w:rPr>
          <w:rFonts w:ascii="新細明體" w:eastAsia="新細明體" w:hAnsi="新細明體" w:hint="eastAsia"/>
          <w:sz w:val="26"/>
          <w:szCs w:val="26"/>
        </w:rPr>
        <w:t>第　一　條　　本條例依公務人員退休撫卹基金管理條例第二條規定制定之。</w:t>
      </w:r>
    </w:p>
    <w:p w:rsidR="00BF5B10" w:rsidRDefault="00BF5B10" w:rsidP="00BF5B10">
      <w:pPr>
        <w:pStyle w:val="a8"/>
        <w:ind w:left="1300" w:hanging="1300"/>
        <w:rPr>
          <w:rFonts w:ascii="新細明體" w:eastAsia="新細明體" w:hAnsi="新細明體"/>
          <w:sz w:val="26"/>
          <w:szCs w:val="26"/>
        </w:rPr>
      </w:pPr>
      <w:r>
        <w:rPr>
          <w:rFonts w:ascii="新細明體" w:eastAsia="新細明體" w:hAnsi="新細明體" w:hint="eastAsia"/>
          <w:sz w:val="26"/>
          <w:szCs w:val="26"/>
        </w:rPr>
        <w:t>第　二　條　　公務人員退休撫卹基金管理委員會（以下簡稱本會）隸屬於銓敘部，負責公務人員退休撫卹基金之收支、管理及運用。</w:t>
      </w:r>
    </w:p>
    <w:p w:rsidR="00BF5B10" w:rsidRDefault="00BF5B10" w:rsidP="00BF5B10">
      <w:pPr>
        <w:pStyle w:val="a8"/>
        <w:ind w:left="1300" w:hanging="1300"/>
        <w:rPr>
          <w:rFonts w:ascii="新細明體" w:eastAsia="新細明體" w:hAnsi="新細明體"/>
          <w:sz w:val="26"/>
          <w:szCs w:val="26"/>
        </w:rPr>
      </w:pPr>
      <w:r>
        <w:rPr>
          <w:rFonts w:ascii="新細明體" w:eastAsia="新細明體" w:hAnsi="新細明體" w:hint="eastAsia"/>
          <w:sz w:val="26"/>
          <w:szCs w:val="26"/>
        </w:rPr>
        <w:t>第　三　條　　本會掌理下列事項：</w:t>
      </w:r>
    </w:p>
    <w:p w:rsidR="00BF5B10" w:rsidRDefault="00BF5B10" w:rsidP="00BF5B10">
      <w:pPr>
        <w:pStyle w:val="aa"/>
        <w:ind w:left="1940" w:hanging="260"/>
        <w:rPr>
          <w:rFonts w:ascii="新細明體" w:eastAsia="新細明體" w:hAnsi="新細明體"/>
          <w:sz w:val="26"/>
          <w:szCs w:val="26"/>
        </w:rPr>
      </w:pPr>
      <w:r>
        <w:rPr>
          <w:rFonts w:ascii="新細明體" w:eastAsia="新細明體" w:hAnsi="新細明體" w:hint="eastAsia"/>
          <w:sz w:val="26"/>
          <w:szCs w:val="26"/>
        </w:rPr>
        <w:t>一、關於公務人員退休撫卹基金之收支、保管、運用及規劃事項。</w:t>
      </w:r>
    </w:p>
    <w:p w:rsidR="00BF5B10" w:rsidRDefault="00BF5B10" w:rsidP="00BF5B10">
      <w:pPr>
        <w:pStyle w:val="aa"/>
        <w:ind w:left="1940" w:hanging="260"/>
        <w:rPr>
          <w:rFonts w:ascii="新細明體" w:eastAsia="新細明體" w:hAnsi="新細明體"/>
          <w:sz w:val="26"/>
          <w:szCs w:val="26"/>
        </w:rPr>
      </w:pPr>
      <w:r>
        <w:rPr>
          <w:rFonts w:ascii="新細明體" w:eastAsia="新細明體" w:hAnsi="新細明體" w:hint="eastAsia"/>
          <w:sz w:val="26"/>
          <w:szCs w:val="26"/>
        </w:rPr>
        <w:t>二、關於公務人員退休撫卹基金之收支、保管及運用機關之決定事項。</w:t>
      </w:r>
    </w:p>
    <w:p w:rsidR="00BF5B10" w:rsidRDefault="00BF5B10" w:rsidP="00BF5B10">
      <w:pPr>
        <w:pStyle w:val="aa"/>
        <w:ind w:left="1940" w:hanging="260"/>
        <w:rPr>
          <w:rFonts w:ascii="新細明體" w:eastAsia="新細明體" w:hAnsi="新細明體"/>
          <w:sz w:val="26"/>
          <w:szCs w:val="26"/>
        </w:rPr>
      </w:pPr>
      <w:r>
        <w:rPr>
          <w:rFonts w:ascii="新細明體" w:eastAsia="新細明體" w:hAnsi="新細明體" w:hint="eastAsia"/>
          <w:sz w:val="26"/>
          <w:szCs w:val="26"/>
        </w:rPr>
        <w:t>三、關於公務人員退休撫卹基金受委託運用機構所提基金運用計畫之審核事項。</w:t>
      </w:r>
    </w:p>
    <w:p w:rsidR="00BF5B10" w:rsidRDefault="00BF5B10" w:rsidP="00BF5B10">
      <w:pPr>
        <w:pStyle w:val="aa"/>
        <w:ind w:left="1940" w:hanging="260"/>
        <w:rPr>
          <w:rFonts w:ascii="新細明體" w:eastAsia="新細明體" w:hAnsi="新細明體"/>
          <w:sz w:val="26"/>
          <w:szCs w:val="26"/>
        </w:rPr>
      </w:pPr>
      <w:r>
        <w:rPr>
          <w:rFonts w:ascii="新細明體" w:eastAsia="新細明體" w:hAnsi="新細明體" w:hint="eastAsia"/>
          <w:sz w:val="26"/>
          <w:szCs w:val="26"/>
        </w:rPr>
        <w:t>四、關於公務人員退休撫卹基金年度預算及決算報告之編製事項。</w:t>
      </w:r>
    </w:p>
    <w:p w:rsidR="00BF5B10" w:rsidRDefault="00BF5B10" w:rsidP="00BF5B10">
      <w:pPr>
        <w:pStyle w:val="aa"/>
        <w:ind w:left="1940" w:hanging="260"/>
        <w:rPr>
          <w:rFonts w:ascii="新細明體" w:eastAsia="新細明體" w:hAnsi="新細明體"/>
          <w:sz w:val="26"/>
          <w:szCs w:val="26"/>
        </w:rPr>
      </w:pPr>
      <w:r>
        <w:rPr>
          <w:rFonts w:ascii="新細明體" w:eastAsia="新細明體" w:hAnsi="新細明體" w:hint="eastAsia"/>
          <w:sz w:val="26"/>
          <w:szCs w:val="26"/>
        </w:rPr>
        <w:t>五、關於公務人員退休撫卹基金收支、保管及運用機構績效之考核事項。</w:t>
      </w:r>
    </w:p>
    <w:p w:rsidR="00BF5B10" w:rsidRDefault="00BF5B10" w:rsidP="00BF5B10">
      <w:pPr>
        <w:pStyle w:val="aa"/>
        <w:ind w:left="1940" w:hanging="260"/>
        <w:rPr>
          <w:rFonts w:ascii="新細明體" w:eastAsia="新細明體" w:hAnsi="新細明體"/>
          <w:sz w:val="26"/>
          <w:szCs w:val="26"/>
        </w:rPr>
      </w:pPr>
      <w:r>
        <w:rPr>
          <w:rFonts w:ascii="新細明體" w:eastAsia="新細明體" w:hAnsi="新細明體" w:hint="eastAsia"/>
          <w:sz w:val="26"/>
          <w:szCs w:val="26"/>
        </w:rPr>
        <w:t>六、關於公務人員退休撫卹基金調整提撥費率及其幅度之建議事項。</w:t>
      </w:r>
    </w:p>
    <w:p w:rsidR="00BF5B10" w:rsidRDefault="00BF5B10" w:rsidP="00BF5B10">
      <w:pPr>
        <w:pStyle w:val="aa"/>
        <w:ind w:left="1940" w:hanging="260"/>
        <w:rPr>
          <w:rFonts w:ascii="新細明體" w:eastAsia="新細明體" w:hAnsi="新細明體"/>
          <w:sz w:val="26"/>
          <w:szCs w:val="26"/>
        </w:rPr>
      </w:pPr>
      <w:r>
        <w:rPr>
          <w:rFonts w:ascii="新細明體" w:eastAsia="新細明體" w:hAnsi="新細明體" w:hint="eastAsia"/>
          <w:sz w:val="26"/>
          <w:szCs w:val="26"/>
        </w:rPr>
        <w:t>七、關於公務人員退休撫卹基金資訊作業之整體規劃、系統分析、程式設計、資料處理及其他有關資訊管理事項。</w:t>
      </w:r>
    </w:p>
    <w:p w:rsidR="00BF5B10" w:rsidRDefault="00BF5B10" w:rsidP="00BF5B10">
      <w:pPr>
        <w:pStyle w:val="aa"/>
        <w:ind w:left="1940" w:hanging="260"/>
        <w:rPr>
          <w:rFonts w:ascii="新細明體" w:eastAsia="新細明體" w:hAnsi="新細明體"/>
          <w:sz w:val="26"/>
          <w:szCs w:val="26"/>
        </w:rPr>
      </w:pPr>
      <w:r>
        <w:rPr>
          <w:rFonts w:ascii="新細明體" w:eastAsia="新細明體" w:hAnsi="新細明體" w:hint="eastAsia"/>
          <w:sz w:val="26"/>
          <w:szCs w:val="26"/>
        </w:rPr>
        <w:t>八、其他有關公務人員退休撫卹基金業務管理事項。</w:t>
      </w:r>
    </w:p>
    <w:p w:rsidR="00BF5B10" w:rsidRDefault="00BF5B10" w:rsidP="00BF5B10">
      <w:pPr>
        <w:pStyle w:val="a8"/>
        <w:ind w:left="1300" w:hanging="1300"/>
        <w:rPr>
          <w:rFonts w:ascii="新細明體" w:eastAsia="新細明體" w:hAnsi="新細明體"/>
          <w:sz w:val="26"/>
          <w:szCs w:val="26"/>
        </w:rPr>
      </w:pPr>
      <w:r>
        <w:rPr>
          <w:rFonts w:ascii="新細明體" w:eastAsia="新細明體" w:hAnsi="新細明體" w:hint="eastAsia"/>
          <w:sz w:val="26"/>
          <w:szCs w:val="26"/>
        </w:rPr>
        <w:t>第　四　條　　本會設下列各組、室，分別掌理前條所列事項：</w:t>
      </w:r>
    </w:p>
    <w:p w:rsidR="00BF5B10" w:rsidRDefault="00BF5B10" w:rsidP="00BF5B10">
      <w:pPr>
        <w:pStyle w:val="aa"/>
        <w:ind w:left="1940" w:hanging="260"/>
        <w:rPr>
          <w:rFonts w:ascii="新細明體" w:eastAsia="新細明體" w:hAnsi="新細明體"/>
          <w:sz w:val="26"/>
          <w:szCs w:val="26"/>
        </w:rPr>
      </w:pPr>
      <w:r>
        <w:rPr>
          <w:rFonts w:ascii="新細明體" w:eastAsia="新細明體" w:hAnsi="新細明體" w:hint="eastAsia"/>
          <w:sz w:val="26"/>
          <w:szCs w:val="26"/>
        </w:rPr>
        <w:t>一、業務組。</w:t>
      </w:r>
    </w:p>
    <w:p w:rsidR="00BF5B10" w:rsidRDefault="00BF5B10" w:rsidP="00BF5B10">
      <w:pPr>
        <w:pStyle w:val="aa"/>
        <w:ind w:left="1940" w:hanging="260"/>
        <w:rPr>
          <w:rFonts w:ascii="新細明體" w:eastAsia="新細明體" w:hAnsi="新細明體"/>
          <w:sz w:val="26"/>
          <w:szCs w:val="26"/>
        </w:rPr>
      </w:pPr>
      <w:r>
        <w:rPr>
          <w:rFonts w:ascii="新細明體" w:eastAsia="新細明體" w:hAnsi="新細明體" w:hint="eastAsia"/>
          <w:sz w:val="26"/>
          <w:szCs w:val="26"/>
        </w:rPr>
        <w:t>二、財務組。</w:t>
      </w:r>
    </w:p>
    <w:p w:rsidR="00BF5B10" w:rsidRDefault="00BF5B10" w:rsidP="00BF5B10">
      <w:pPr>
        <w:pStyle w:val="aa"/>
        <w:ind w:left="1940" w:hanging="260"/>
        <w:rPr>
          <w:rFonts w:ascii="新細明體" w:eastAsia="新細明體" w:hAnsi="新細明體"/>
          <w:sz w:val="26"/>
          <w:szCs w:val="26"/>
        </w:rPr>
      </w:pPr>
      <w:r>
        <w:rPr>
          <w:rFonts w:ascii="新細明體" w:eastAsia="新細明體" w:hAnsi="新細明體" w:hint="eastAsia"/>
          <w:sz w:val="26"/>
          <w:szCs w:val="26"/>
        </w:rPr>
        <w:t>三、稽核組。</w:t>
      </w:r>
    </w:p>
    <w:p w:rsidR="00BF5B10" w:rsidRDefault="00BF5B10" w:rsidP="00BF5B10">
      <w:pPr>
        <w:pStyle w:val="aa"/>
        <w:ind w:left="1940" w:hanging="260"/>
        <w:rPr>
          <w:rFonts w:ascii="新細明體" w:eastAsia="新細明體" w:hAnsi="新細明體"/>
          <w:sz w:val="26"/>
          <w:szCs w:val="26"/>
        </w:rPr>
      </w:pPr>
      <w:r>
        <w:rPr>
          <w:rFonts w:ascii="新細明體" w:eastAsia="新細明體" w:hAnsi="新細明體" w:hint="eastAsia"/>
          <w:sz w:val="26"/>
          <w:szCs w:val="26"/>
        </w:rPr>
        <w:t>四、資訊室。</w:t>
      </w:r>
    </w:p>
    <w:p w:rsidR="00BF5B10" w:rsidRDefault="00BF5B10" w:rsidP="00BF5B10">
      <w:pPr>
        <w:pStyle w:val="a8"/>
        <w:ind w:left="1300" w:hanging="1300"/>
        <w:rPr>
          <w:rFonts w:ascii="新細明體" w:eastAsia="新細明體" w:hAnsi="新細明體"/>
          <w:sz w:val="26"/>
          <w:szCs w:val="26"/>
        </w:rPr>
      </w:pPr>
      <w:r>
        <w:rPr>
          <w:rFonts w:ascii="新細明體" w:eastAsia="新細明體" w:hAnsi="新細明體" w:hint="eastAsia"/>
          <w:sz w:val="26"/>
          <w:szCs w:val="26"/>
        </w:rPr>
        <w:t>第　五　條　　本會設秘書室掌理議事、文書、印信、庶務、出納、公共關係及不屬各組室事項。</w:t>
      </w:r>
    </w:p>
    <w:p w:rsidR="00BF5B10" w:rsidRDefault="00BF5B10" w:rsidP="00BF5B10">
      <w:pPr>
        <w:pStyle w:val="a8"/>
        <w:ind w:left="1300" w:hanging="1300"/>
        <w:rPr>
          <w:rFonts w:ascii="新細明體" w:eastAsia="新細明體" w:hAnsi="新細明體"/>
          <w:sz w:val="26"/>
          <w:szCs w:val="26"/>
        </w:rPr>
      </w:pPr>
      <w:r>
        <w:rPr>
          <w:rFonts w:ascii="新細明體" w:eastAsia="新細明體" w:hAnsi="新細明體" w:hint="eastAsia"/>
          <w:sz w:val="26"/>
          <w:szCs w:val="26"/>
        </w:rPr>
        <w:t>第　六　條　　本會置主任委員一人，由銓敘部部長兼任，綜理會務；副主任委員一人，職務列簡任第十三職等，襄理會務。</w:t>
      </w:r>
    </w:p>
    <w:p w:rsidR="00BF5B10" w:rsidRDefault="00BF5B10" w:rsidP="00BF5B10">
      <w:pPr>
        <w:pStyle w:val="a8"/>
        <w:ind w:left="1300" w:hanging="1300"/>
        <w:rPr>
          <w:rFonts w:ascii="新細明體" w:eastAsia="新細明體" w:hAnsi="新細明體"/>
          <w:sz w:val="26"/>
          <w:szCs w:val="26"/>
        </w:rPr>
      </w:pPr>
      <w:r>
        <w:rPr>
          <w:rFonts w:ascii="新細明體" w:eastAsia="新細明體" w:hAnsi="新細明體" w:hint="eastAsia"/>
          <w:sz w:val="26"/>
          <w:szCs w:val="26"/>
        </w:rPr>
        <w:t>第　七　條　　本會置委員十三人至十七人，由銓敘部遴聘國防部、財政部、教育部、行政院主計處、行政院人事行政局、臺灣省政府、台北市政府、高雄市政府業務主管各一人，及專家學者組成之。</w:t>
      </w:r>
    </w:p>
    <w:p w:rsidR="00BF5B10" w:rsidRDefault="00BF5B10" w:rsidP="00BF5B10">
      <w:pPr>
        <w:pStyle w:val="a9"/>
        <w:ind w:left="1200" w:firstLine="520"/>
        <w:rPr>
          <w:rFonts w:ascii="新細明體" w:eastAsia="新細明體" w:hAnsi="新細明體"/>
          <w:sz w:val="26"/>
          <w:szCs w:val="26"/>
        </w:rPr>
      </w:pPr>
      <w:r>
        <w:rPr>
          <w:rFonts w:ascii="新細明體" w:eastAsia="新細明體" w:hAnsi="新細明體" w:hint="eastAsia"/>
          <w:sz w:val="26"/>
          <w:szCs w:val="26"/>
        </w:rPr>
        <w:t>前項委員均為兼任，其由專家學者擔任者任期為二年。</w:t>
      </w:r>
    </w:p>
    <w:p w:rsidR="00BF5B10" w:rsidRDefault="00BF5B10" w:rsidP="00BF5B10">
      <w:pPr>
        <w:pStyle w:val="a8"/>
        <w:ind w:left="1300" w:hanging="1300"/>
        <w:rPr>
          <w:rFonts w:ascii="新細明體" w:eastAsia="新細明體" w:hAnsi="新細明體"/>
          <w:sz w:val="26"/>
          <w:szCs w:val="26"/>
        </w:rPr>
      </w:pPr>
      <w:r>
        <w:rPr>
          <w:rFonts w:ascii="新細明體" w:eastAsia="新細明體" w:hAnsi="新細明體" w:hint="eastAsia"/>
          <w:sz w:val="26"/>
          <w:szCs w:val="26"/>
        </w:rPr>
        <w:t>第　八　條　　本會置主任秘書一人，組長三人，職務均列簡任第十一職等；主任二人，專門委員三人，職務均列薦任第九職等至簡任第十職等；科長六人至八人，職務列薦任第九職等；稽核四人至十二人，職務列薦任第八職等至第九職</w:t>
      </w:r>
      <w:r>
        <w:rPr>
          <w:rFonts w:ascii="新細明體" w:eastAsia="新細明體" w:hAnsi="新細明體" w:hint="eastAsia"/>
          <w:sz w:val="26"/>
          <w:szCs w:val="26"/>
        </w:rPr>
        <w:lastRenderedPageBreak/>
        <w:t>等；系統分析師一人，職務列薦任第七職等至第九職等；專員六人至十四人，聯務列薦任第七職等至第八職等；程式設計師二人，職務列薦任第六職等至第八職等；科員十七人至二十三人，職務列委任第四職等至第五職等，其中六人至八人得列薦任第六職等至第七職等；助理程式設計師二人，職務列委任第四職等至第五職等；助理員四人至八人，職務列委任第三職等至第五職等；書記四人至六人，職務列委任第一職等至第三職等。</w:t>
      </w:r>
    </w:p>
    <w:p w:rsidR="00BF5B10" w:rsidRDefault="00BF5B10" w:rsidP="00BF5B10">
      <w:pPr>
        <w:pStyle w:val="a8"/>
        <w:ind w:left="1300" w:hanging="1300"/>
        <w:rPr>
          <w:rFonts w:ascii="新細明體" w:eastAsia="新細明體" w:hAnsi="新細明體"/>
          <w:sz w:val="26"/>
          <w:szCs w:val="26"/>
        </w:rPr>
      </w:pPr>
      <w:r>
        <w:rPr>
          <w:rFonts w:ascii="新細明體" w:eastAsia="新細明體" w:hAnsi="新細明體" w:hint="eastAsia"/>
          <w:sz w:val="26"/>
          <w:szCs w:val="26"/>
        </w:rPr>
        <w:t>第　九　條　　本會設人事室，置主任一人，職務列薦任第九職等，依法辦理人事管理事項；其餘所需工作人員，應就本條例所定員額內派充之。</w:t>
      </w:r>
    </w:p>
    <w:p w:rsidR="00BF5B10" w:rsidRDefault="00BF5B10" w:rsidP="00BF5B10">
      <w:pPr>
        <w:pStyle w:val="a8"/>
        <w:ind w:left="1300" w:hanging="1300"/>
        <w:rPr>
          <w:rFonts w:ascii="新細明體" w:eastAsia="新細明體" w:hAnsi="新細明體"/>
          <w:sz w:val="26"/>
          <w:szCs w:val="26"/>
        </w:rPr>
      </w:pPr>
      <w:r>
        <w:rPr>
          <w:rFonts w:ascii="新細明體" w:eastAsia="新細明體" w:hAnsi="新細明體" w:hint="eastAsia"/>
          <w:sz w:val="26"/>
          <w:szCs w:val="26"/>
        </w:rPr>
        <w:t>第　十　條　　本會設會計室，置會計主任一人，職務列薦任第九職等，依法辦理歲計、會計事項，並兼辦統計事項；其餘所需工作人員，應就本條例所定員額內派充之。</w:t>
      </w:r>
    </w:p>
    <w:p w:rsidR="00BF5B10" w:rsidRDefault="00BF5B10" w:rsidP="00BF5B10">
      <w:pPr>
        <w:pStyle w:val="11"/>
        <w:ind w:left="1238" w:hanging="1238"/>
        <w:rPr>
          <w:rFonts w:ascii="新細明體" w:eastAsia="新細明體" w:hAnsi="新細明體"/>
          <w:sz w:val="26"/>
          <w:szCs w:val="26"/>
        </w:rPr>
      </w:pPr>
      <w:r>
        <w:rPr>
          <w:rFonts w:ascii="新細明體" w:eastAsia="新細明體" w:hAnsi="新細明體" w:hint="eastAsia"/>
          <w:spacing w:val="35"/>
          <w:sz w:val="26"/>
          <w:szCs w:val="26"/>
        </w:rPr>
        <w:t>第十一</w:t>
      </w:r>
      <w:r>
        <w:rPr>
          <w:rFonts w:ascii="新細明體" w:eastAsia="新細明體" w:hAnsi="新細明體" w:hint="eastAsia"/>
          <w:sz w:val="26"/>
          <w:szCs w:val="26"/>
        </w:rPr>
        <w:t>條　　第六條及第八條至第十條所定各職稱列有官等職等人員，其職務所適用之職系，依公務人員任用法第八條之規定，就有關職系選用之。</w:t>
      </w:r>
    </w:p>
    <w:p w:rsidR="00BF5B10" w:rsidRDefault="00BF5B10" w:rsidP="00BF5B10">
      <w:pPr>
        <w:pStyle w:val="11"/>
        <w:ind w:left="1238" w:hanging="1238"/>
        <w:rPr>
          <w:rFonts w:ascii="新細明體" w:eastAsia="新細明體" w:hAnsi="新細明體"/>
          <w:sz w:val="26"/>
          <w:szCs w:val="26"/>
        </w:rPr>
      </w:pPr>
      <w:r>
        <w:rPr>
          <w:rFonts w:ascii="新細明體" w:eastAsia="新細明體" w:hAnsi="新細明體" w:hint="eastAsia"/>
          <w:spacing w:val="35"/>
          <w:sz w:val="26"/>
          <w:szCs w:val="26"/>
        </w:rPr>
        <w:t>第十二</w:t>
      </w:r>
      <w:r>
        <w:rPr>
          <w:rFonts w:ascii="新細明體" w:eastAsia="新細明體" w:hAnsi="新細明體" w:hint="eastAsia"/>
          <w:sz w:val="26"/>
          <w:szCs w:val="26"/>
        </w:rPr>
        <w:t>條　　本會委員會議以每月開會一次為原則，由主任委員為主席，主任委員未能出席時，由副主任委員為主席，主任委員及副主任委員均不能出席時，由委員互推一人為主席。</w:t>
      </w:r>
    </w:p>
    <w:p w:rsidR="00BF5B10" w:rsidRDefault="00BF5B10" w:rsidP="00BF5B10">
      <w:pPr>
        <w:pStyle w:val="12"/>
        <w:ind w:left="1200" w:firstLine="520"/>
        <w:rPr>
          <w:rFonts w:ascii="新細明體" w:eastAsia="新細明體" w:hAnsi="新細明體"/>
          <w:sz w:val="26"/>
          <w:szCs w:val="26"/>
        </w:rPr>
      </w:pPr>
      <w:r>
        <w:rPr>
          <w:rFonts w:ascii="新細明體" w:eastAsia="新細明體" w:hAnsi="新細明體" w:hint="eastAsia"/>
          <w:sz w:val="26"/>
          <w:szCs w:val="26"/>
        </w:rPr>
        <w:t>前項會議並得邀請有關機關派員列席。</w:t>
      </w:r>
    </w:p>
    <w:p w:rsidR="00BF5B10" w:rsidRDefault="00BF5B10" w:rsidP="00BF5B10">
      <w:pPr>
        <w:pStyle w:val="11"/>
        <w:ind w:left="1238" w:hanging="1238"/>
        <w:rPr>
          <w:rFonts w:ascii="新細明體" w:eastAsia="新細明體" w:hAnsi="新細明體"/>
          <w:sz w:val="26"/>
          <w:szCs w:val="26"/>
        </w:rPr>
      </w:pPr>
      <w:r>
        <w:rPr>
          <w:rFonts w:ascii="新細明體" w:eastAsia="新細明體" w:hAnsi="新細明體" w:hint="eastAsia"/>
          <w:spacing w:val="35"/>
          <w:sz w:val="26"/>
          <w:szCs w:val="26"/>
        </w:rPr>
        <w:t>第十三</w:t>
      </w:r>
      <w:r>
        <w:rPr>
          <w:rFonts w:ascii="新細明體" w:eastAsia="新細明體" w:hAnsi="新細明體" w:hint="eastAsia"/>
          <w:sz w:val="26"/>
          <w:szCs w:val="26"/>
        </w:rPr>
        <w:t>條　　本會得視業務需要，遴聘專家學者若干人為顧問，聘期一年；其遴聘辦法另定之。</w:t>
      </w:r>
    </w:p>
    <w:p w:rsidR="00BF5B10" w:rsidRDefault="00BF5B10" w:rsidP="00BF5B10">
      <w:pPr>
        <w:pStyle w:val="11"/>
        <w:ind w:left="1238" w:hanging="1238"/>
        <w:rPr>
          <w:rFonts w:ascii="新細明體" w:eastAsia="新細明體" w:hAnsi="新細明體"/>
          <w:sz w:val="26"/>
          <w:szCs w:val="26"/>
        </w:rPr>
      </w:pPr>
      <w:r>
        <w:rPr>
          <w:rFonts w:ascii="新細明體" w:eastAsia="新細明體" w:hAnsi="新細明體" w:hint="eastAsia"/>
          <w:spacing w:val="35"/>
          <w:sz w:val="26"/>
          <w:szCs w:val="26"/>
        </w:rPr>
        <w:t>第十四</w:t>
      </w:r>
      <w:r>
        <w:rPr>
          <w:rFonts w:ascii="新細明體" w:eastAsia="新細明體" w:hAnsi="新細明體" w:hint="eastAsia"/>
          <w:sz w:val="26"/>
          <w:szCs w:val="26"/>
        </w:rPr>
        <w:t>條　　本會委員、顧問均為無給職。但得依規定支領交通費或出席費。</w:t>
      </w:r>
    </w:p>
    <w:p w:rsidR="00BF5B10" w:rsidRDefault="00BF5B10" w:rsidP="00BF5B10">
      <w:pPr>
        <w:pStyle w:val="11"/>
        <w:ind w:left="1238" w:hanging="1238"/>
        <w:rPr>
          <w:rFonts w:ascii="新細明體" w:eastAsia="新細明體" w:hAnsi="新細明體"/>
          <w:sz w:val="26"/>
          <w:szCs w:val="26"/>
        </w:rPr>
      </w:pPr>
      <w:r>
        <w:rPr>
          <w:rFonts w:ascii="新細明體" w:eastAsia="新細明體" w:hAnsi="新細明體" w:hint="eastAsia"/>
          <w:spacing w:val="35"/>
          <w:sz w:val="26"/>
          <w:szCs w:val="26"/>
        </w:rPr>
        <w:t>第十五</w:t>
      </w:r>
      <w:r>
        <w:rPr>
          <w:rFonts w:ascii="新細明體" w:eastAsia="新細明體" w:hAnsi="新細明體" w:hint="eastAsia"/>
          <w:sz w:val="26"/>
          <w:szCs w:val="26"/>
        </w:rPr>
        <w:t>條　　本會辦事細則由本會擬訂，報請銓敘部核定之。</w:t>
      </w:r>
    </w:p>
    <w:p w:rsidR="00BF5B10" w:rsidRDefault="00BF5B10" w:rsidP="00BF5B10">
      <w:pPr>
        <w:pStyle w:val="11"/>
        <w:ind w:left="1238" w:hanging="1238"/>
        <w:rPr>
          <w:rFonts w:ascii="新細明體" w:eastAsia="新細明體" w:hAnsi="新細明體"/>
          <w:sz w:val="26"/>
          <w:szCs w:val="26"/>
        </w:rPr>
      </w:pPr>
      <w:r>
        <w:rPr>
          <w:rFonts w:ascii="新細明體" w:eastAsia="新細明體" w:hAnsi="新細明體" w:hint="eastAsia"/>
          <w:spacing w:val="35"/>
          <w:sz w:val="26"/>
          <w:szCs w:val="26"/>
        </w:rPr>
        <w:t>第十六</w:t>
      </w:r>
      <w:r>
        <w:rPr>
          <w:rFonts w:ascii="新細明體" w:eastAsia="新細明體" w:hAnsi="新細明體" w:hint="eastAsia"/>
          <w:sz w:val="26"/>
          <w:szCs w:val="26"/>
        </w:rPr>
        <w:t>條　　本條例施行日期，由考試院以命令定之。</w:t>
      </w:r>
    </w:p>
    <w:p w:rsidR="00E14273" w:rsidRDefault="00E14273"/>
    <w:sectPr w:rsidR="00E14273" w:rsidSect="00F110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712" w:rsidRDefault="00CC0712" w:rsidP="00F110E6">
      <w:r>
        <w:separator/>
      </w:r>
    </w:p>
  </w:endnote>
  <w:endnote w:type="continuationSeparator" w:id="0">
    <w:p w:rsidR="00CC0712" w:rsidRDefault="00CC0712" w:rsidP="00F1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華康細明體">
    <w:altName w:val="Challenge Contour"/>
    <w:panose1 w:val="02020309000000000000"/>
    <w:charset w:val="88"/>
    <w:family w:val="modern"/>
    <w:pitch w:val="fixed"/>
    <w:sig w:usb0="00000000" w:usb1="28091800" w:usb2="00000016" w:usb3="00000000" w:csb0="00100000" w:csb1="00000000"/>
  </w:font>
  <w:font w:name="華康楷書體W5">
    <w:panose1 w:val="02010609010101010101"/>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366914"/>
      <w:docPartObj>
        <w:docPartGallery w:val="Page Numbers (Bottom of Page)"/>
        <w:docPartUnique/>
      </w:docPartObj>
    </w:sdtPr>
    <w:sdtContent>
      <w:p w:rsidR="00B807BF" w:rsidRDefault="00B807BF">
        <w:pPr>
          <w:pStyle w:val="af"/>
          <w:jc w:val="center"/>
        </w:pPr>
        <w:r>
          <w:fldChar w:fldCharType="begin"/>
        </w:r>
        <w:r>
          <w:instrText>PAGE   \* MERGEFORMAT</w:instrText>
        </w:r>
        <w:r>
          <w:fldChar w:fldCharType="separate"/>
        </w:r>
        <w:r w:rsidR="00531AED" w:rsidRPr="00531AED">
          <w:rPr>
            <w:noProof/>
            <w:lang w:val="zh-TW"/>
          </w:rPr>
          <w:t>21</w:t>
        </w:r>
        <w:r>
          <w:fldChar w:fldCharType="end"/>
        </w:r>
      </w:p>
    </w:sdtContent>
  </w:sdt>
  <w:p w:rsidR="00B807BF" w:rsidRDefault="00B807B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712" w:rsidRDefault="00CC0712" w:rsidP="00F110E6">
      <w:r>
        <w:separator/>
      </w:r>
    </w:p>
  </w:footnote>
  <w:footnote w:type="continuationSeparator" w:id="0">
    <w:p w:rsidR="00CC0712" w:rsidRDefault="00CC0712" w:rsidP="00F11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34" w:rsidRDefault="00AE0334" w:rsidP="006B2958">
    <w:pPr>
      <w:pStyle w:val="ad"/>
      <w:spacing w:line="276" w:lineRule="auto"/>
      <w:jc w:val="center"/>
    </w:pPr>
    <w:r>
      <w:rPr>
        <w:sz w:val="30"/>
        <w:szCs w:val="30"/>
        <w:bdr w:val="single" w:sz="4" w:space="0" w:color="auto" w:frame="1"/>
      </w:rPr>
      <w:t>201607</w:t>
    </w:r>
    <w:r>
      <w:rPr>
        <w:rFonts w:hint="eastAsia"/>
        <w:sz w:val="30"/>
        <w:szCs w:val="30"/>
        <w:bdr w:val="single" w:sz="4" w:space="0" w:color="auto" w:frame="1"/>
      </w:rPr>
      <w:t>21</w:t>
    </w:r>
    <w:r>
      <w:rPr>
        <w:rFonts w:ascii="新細明體" w:eastAsia="新細明體" w:hAnsi="新細明體" w:cs="新細明體" w:hint="eastAsia"/>
        <w:sz w:val="30"/>
        <w:szCs w:val="30"/>
        <w:bdr w:val="single" w:sz="4" w:space="0" w:color="auto" w:frame="1"/>
      </w:rPr>
      <w:t>記者會用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36DE"/>
    <w:multiLevelType w:val="hybridMultilevel"/>
    <w:tmpl w:val="38A20EF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6A1D15D7"/>
    <w:multiLevelType w:val="hybridMultilevel"/>
    <w:tmpl w:val="25DA90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8B"/>
    <w:rsid w:val="001B244C"/>
    <w:rsid w:val="002F4F0F"/>
    <w:rsid w:val="00321420"/>
    <w:rsid w:val="0034056A"/>
    <w:rsid w:val="00412ACF"/>
    <w:rsid w:val="004D0201"/>
    <w:rsid w:val="004D03D7"/>
    <w:rsid w:val="004D2C8B"/>
    <w:rsid w:val="00531AED"/>
    <w:rsid w:val="00582241"/>
    <w:rsid w:val="006B2958"/>
    <w:rsid w:val="006E2E04"/>
    <w:rsid w:val="006F00F8"/>
    <w:rsid w:val="006F175E"/>
    <w:rsid w:val="009245A0"/>
    <w:rsid w:val="009A3210"/>
    <w:rsid w:val="009F018D"/>
    <w:rsid w:val="00AE0334"/>
    <w:rsid w:val="00B807BF"/>
    <w:rsid w:val="00BF5B10"/>
    <w:rsid w:val="00C1407F"/>
    <w:rsid w:val="00C9455D"/>
    <w:rsid w:val="00CA6EE9"/>
    <w:rsid w:val="00CC0712"/>
    <w:rsid w:val="00E14273"/>
    <w:rsid w:val="00F110E6"/>
    <w:rsid w:val="00F86B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D09145-D0C9-43E3-B65A-F53205B5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E14273"/>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basedOn w:val="a"/>
    <w:next w:val="a"/>
    <w:rsid w:val="00BF5B10"/>
    <w:pPr>
      <w:kinsoku w:val="0"/>
      <w:overflowPunct w:val="0"/>
      <w:spacing w:line="420" w:lineRule="exact"/>
      <w:ind w:left="300" w:hangingChars="300" w:hanging="300"/>
      <w:jc w:val="both"/>
    </w:pPr>
    <w:rPr>
      <w:rFonts w:ascii="Times New Roman" w:eastAsia="華康細明體" w:hAnsi="Times New Roman" w:cs="Times New Roman"/>
      <w:noProof/>
      <w:kern w:val="0"/>
      <w:sz w:val="21"/>
      <w:szCs w:val="24"/>
    </w:rPr>
  </w:style>
  <w:style w:type="paragraph" w:customStyle="1" w:styleId="a4">
    <w:name w:val="案由(議)"/>
    <w:basedOn w:val="a"/>
    <w:next w:val="a"/>
    <w:rsid w:val="00BF5B10"/>
    <w:pPr>
      <w:kinsoku w:val="0"/>
      <w:overflowPunct w:val="0"/>
      <w:spacing w:line="480" w:lineRule="exact"/>
      <w:ind w:leftChars="250" w:left="550" w:hangingChars="300" w:hanging="300"/>
      <w:jc w:val="both"/>
    </w:pPr>
    <w:rPr>
      <w:rFonts w:ascii="Times New Roman" w:eastAsia="華康楷書體W5" w:hAnsi="Times New Roman" w:cs="Times New Roman"/>
      <w:noProof/>
      <w:spacing w:val="2"/>
      <w:kern w:val="0"/>
      <w:sz w:val="28"/>
      <w:szCs w:val="24"/>
    </w:rPr>
  </w:style>
  <w:style w:type="paragraph" w:customStyle="1" w:styleId="a5">
    <w:name w:val="表格第一列(文字分散)"/>
    <w:basedOn w:val="a"/>
    <w:next w:val="a"/>
    <w:rsid w:val="00BF5B10"/>
    <w:pPr>
      <w:kinsoku w:val="0"/>
      <w:overflowPunct w:val="0"/>
      <w:spacing w:line="315" w:lineRule="exact"/>
      <w:ind w:leftChars="50" w:left="50" w:rightChars="50" w:right="50"/>
      <w:jc w:val="distribute"/>
    </w:pPr>
    <w:rPr>
      <w:rFonts w:ascii="Times New Roman" w:eastAsia="華康細明體" w:hAnsi="Times New Roman" w:cs="Times New Roman"/>
      <w:noProof/>
      <w:sz w:val="21"/>
      <w:szCs w:val="24"/>
    </w:rPr>
  </w:style>
  <w:style w:type="paragraph" w:customStyle="1" w:styleId="a6">
    <w:name w:val="說明(無函件項目符號)"/>
    <w:basedOn w:val="a"/>
    <w:next w:val="a"/>
    <w:rsid w:val="00BF5B10"/>
    <w:pPr>
      <w:kinsoku w:val="0"/>
      <w:overflowPunct w:val="0"/>
      <w:spacing w:line="420" w:lineRule="exact"/>
      <w:ind w:leftChars="100" w:left="300" w:hangingChars="200" w:hanging="200"/>
      <w:jc w:val="both"/>
    </w:pPr>
    <w:rPr>
      <w:rFonts w:ascii="Times New Roman" w:eastAsia="華康細明體" w:hAnsi="Times New Roman" w:cs="Times New Roman"/>
      <w:noProof/>
      <w:kern w:val="0"/>
      <w:sz w:val="21"/>
      <w:szCs w:val="24"/>
    </w:rPr>
  </w:style>
  <w:style w:type="paragraph" w:styleId="a7">
    <w:name w:val="Block Text"/>
    <w:basedOn w:val="a"/>
    <w:semiHidden/>
    <w:unhideWhenUsed/>
    <w:rsid w:val="00BF5B10"/>
    <w:pPr>
      <w:kinsoku w:val="0"/>
      <w:overflowPunct w:val="0"/>
      <w:spacing w:line="315" w:lineRule="exact"/>
      <w:ind w:leftChars="150" w:left="316" w:rightChars="50" w:right="105" w:firstLineChars="200" w:firstLine="422"/>
      <w:jc w:val="both"/>
    </w:pPr>
    <w:rPr>
      <w:rFonts w:ascii="Times New Roman" w:eastAsia="華康細明體" w:hAnsi="Times New Roman" w:cs="Times New Roman"/>
      <w:noProof/>
      <w:sz w:val="21"/>
      <w:szCs w:val="24"/>
      <w:u w:val="single"/>
    </w:rPr>
  </w:style>
  <w:style w:type="paragraph" w:customStyle="1" w:styleId="a8">
    <w:name w:val="條"/>
    <w:basedOn w:val="a"/>
    <w:rsid w:val="00BF5B10"/>
    <w:pPr>
      <w:kinsoku w:val="0"/>
      <w:overflowPunct w:val="0"/>
      <w:spacing w:line="420" w:lineRule="exact"/>
      <w:ind w:left="500" w:hangingChars="500" w:hanging="500"/>
      <w:jc w:val="both"/>
    </w:pPr>
    <w:rPr>
      <w:rFonts w:ascii="Times New Roman" w:eastAsia="華康細明體" w:hAnsi="Times New Roman" w:cs="Times New Roman"/>
      <w:bCs/>
      <w:noProof/>
      <w:sz w:val="21"/>
      <w:szCs w:val="24"/>
    </w:rPr>
  </w:style>
  <w:style w:type="paragraph" w:customStyle="1" w:styleId="11">
    <w:name w:val="條1"/>
    <w:basedOn w:val="a"/>
    <w:next w:val="a"/>
    <w:rsid w:val="00BF5B10"/>
    <w:pPr>
      <w:kinsoku w:val="0"/>
      <w:overflowPunct w:val="0"/>
      <w:spacing w:line="420" w:lineRule="exact"/>
      <w:ind w:left="375" w:hangingChars="375" w:hanging="375"/>
      <w:jc w:val="both"/>
    </w:pPr>
    <w:rPr>
      <w:rFonts w:ascii="Times New Roman" w:eastAsia="華康細明體" w:hAnsi="Times New Roman" w:cs="Times New Roman"/>
      <w:noProof/>
      <w:sz w:val="21"/>
      <w:szCs w:val="24"/>
    </w:rPr>
  </w:style>
  <w:style w:type="paragraph" w:customStyle="1" w:styleId="a9">
    <w:name w:val="條文內文"/>
    <w:basedOn w:val="a"/>
    <w:next w:val="a"/>
    <w:rsid w:val="00BF5B10"/>
    <w:pPr>
      <w:kinsoku w:val="0"/>
      <w:overflowPunct w:val="0"/>
      <w:spacing w:line="420" w:lineRule="exact"/>
      <w:ind w:leftChars="500" w:left="500" w:firstLineChars="200" w:firstLine="200"/>
      <w:jc w:val="both"/>
    </w:pPr>
    <w:rPr>
      <w:rFonts w:ascii="Times New Roman" w:eastAsia="華康細明體" w:hAnsi="Times New Roman" w:cs="Times New Roman"/>
      <w:noProof/>
      <w:sz w:val="21"/>
      <w:szCs w:val="24"/>
    </w:rPr>
  </w:style>
  <w:style w:type="paragraph" w:customStyle="1" w:styleId="12">
    <w:name w:val="條文內文1"/>
    <w:basedOn w:val="a"/>
    <w:next w:val="a"/>
    <w:rsid w:val="00BF5B10"/>
    <w:pPr>
      <w:kinsoku w:val="0"/>
      <w:overflowPunct w:val="0"/>
      <w:spacing w:line="420" w:lineRule="exact"/>
      <w:ind w:leftChars="500" w:left="500" w:firstLineChars="200" w:firstLine="200"/>
      <w:jc w:val="both"/>
    </w:pPr>
    <w:rPr>
      <w:rFonts w:ascii="Times New Roman" w:eastAsia="華康細明體" w:hAnsi="Times New Roman" w:cs="Times New Roman"/>
      <w:noProof/>
      <w:sz w:val="21"/>
      <w:szCs w:val="24"/>
    </w:rPr>
  </w:style>
  <w:style w:type="paragraph" w:customStyle="1" w:styleId="aa">
    <w:name w:val="款"/>
    <w:basedOn w:val="a"/>
    <w:rsid w:val="00BF5B10"/>
    <w:pPr>
      <w:kinsoku w:val="0"/>
      <w:overflowPunct w:val="0"/>
      <w:spacing w:line="420" w:lineRule="exact"/>
      <w:ind w:leftChars="700" w:left="800" w:hangingChars="100" w:hanging="100"/>
      <w:jc w:val="both"/>
    </w:pPr>
    <w:rPr>
      <w:rFonts w:ascii="Times New Roman" w:eastAsia="華康細明體" w:hAnsi="Times New Roman" w:cs="Times New Roman"/>
      <w:bCs/>
      <w:noProof/>
      <w:sz w:val="21"/>
      <w:szCs w:val="24"/>
    </w:rPr>
  </w:style>
  <w:style w:type="paragraph" w:customStyle="1" w:styleId="ab">
    <w:name w:val="說明(一般項目)"/>
    <w:basedOn w:val="a"/>
    <w:next w:val="a"/>
    <w:rsid w:val="00BF5B10"/>
    <w:pPr>
      <w:kinsoku w:val="0"/>
      <w:overflowPunct w:val="0"/>
      <w:spacing w:line="420" w:lineRule="exact"/>
      <w:ind w:leftChars="200" w:left="300" w:hangingChars="100" w:hanging="100"/>
      <w:jc w:val="both"/>
    </w:pPr>
    <w:rPr>
      <w:rFonts w:ascii="Times New Roman" w:eastAsia="華康細明體" w:hAnsi="Times New Roman" w:cs="Times New Roman"/>
      <w:noProof/>
      <w:kern w:val="0"/>
      <w:sz w:val="21"/>
      <w:szCs w:val="24"/>
    </w:rPr>
  </w:style>
  <w:style w:type="paragraph" w:customStyle="1" w:styleId="ac">
    <w:name w:val="審查報告(標題)"/>
    <w:basedOn w:val="a"/>
    <w:next w:val="a"/>
    <w:rsid w:val="00BF5B10"/>
    <w:pPr>
      <w:kinsoku w:val="0"/>
      <w:overflowPunct w:val="0"/>
      <w:spacing w:afterLines="50"/>
      <w:ind w:leftChars="500" w:left="600" w:hangingChars="100" w:hanging="100"/>
      <w:jc w:val="both"/>
    </w:pPr>
    <w:rPr>
      <w:rFonts w:ascii="Times New Roman" w:eastAsia="華康楷書體W5" w:hAnsi="Times New Roman" w:cs="Times New Roman"/>
      <w:noProof/>
      <w:kern w:val="0"/>
      <w:sz w:val="28"/>
      <w:szCs w:val="24"/>
    </w:rPr>
  </w:style>
  <w:style w:type="paragraph" w:styleId="ad">
    <w:name w:val="header"/>
    <w:basedOn w:val="a"/>
    <w:link w:val="ae"/>
    <w:uiPriority w:val="99"/>
    <w:unhideWhenUsed/>
    <w:rsid w:val="00F110E6"/>
    <w:pPr>
      <w:tabs>
        <w:tab w:val="center" w:pos="4153"/>
        <w:tab w:val="right" w:pos="8306"/>
      </w:tabs>
      <w:snapToGrid w:val="0"/>
    </w:pPr>
    <w:rPr>
      <w:sz w:val="20"/>
      <w:szCs w:val="20"/>
    </w:rPr>
  </w:style>
  <w:style w:type="character" w:customStyle="1" w:styleId="ae">
    <w:name w:val="頁首 字元"/>
    <w:basedOn w:val="a0"/>
    <w:link w:val="ad"/>
    <w:uiPriority w:val="99"/>
    <w:rsid w:val="00F110E6"/>
    <w:rPr>
      <w:sz w:val="20"/>
      <w:szCs w:val="20"/>
    </w:rPr>
  </w:style>
  <w:style w:type="paragraph" w:styleId="af">
    <w:name w:val="footer"/>
    <w:basedOn w:val="a"/>
    <w:link w:val="af0"/>
    <w:uiPriority w:val="99"/>
    <w:unhideWhenUsed/>
    <w:rsid w:val="00F110E6"/>
    <w:pPr>
      <w:tabs>
        <w:tab w:val="center" w:pos="4153"/>
        <w:tab w:val="right" w:pos="8306"/>
      </w:tabs>
      <w:snapToGrid w:val="0"/>
    </w:pPr>
    <w:rPr>
      <w:sz w:val="20"/>
      <w:szCs w:val="20"/>
    </w:rPr>
  </w:style>
  <w:style w:type="character" w:customStyle="1" w:styleId="af0">
    <w:name w:val="頁尾 字元"/>
    <w:basedOn w:val="a0"/>
    <w:link w:val="af"/>
    <w:uiPriority w:val="99"/>
    <w:rsid w:val="00F110E6"/>
    <w:rPr>
      <w:sz w:val="20"/>
      <w:szCs w:val="20"/>
    </w:rPr>
  </w:style>
  <w:style w:type="table" w:styleId="af1">
    <w:name w:val="Table Grid"/>
    <w:basedOn w:val="a1"/>
    <w:uiPriority w:val="39"/>
    <w:rsid w:val="00CA6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uiPriority w:val="9"/>
    <w:rsid w:val="00E14273"/>
    <w:rPr>
      <w:rFonts w:ascii="新細明體" w:eastAsia="新細明體" w:hAnsi="新細明體" w:cs="新細明體"/>
      <w:b/>
      <w:bCs/>
      <w:kern w:val="36"/>
      <w:sz w:val="48"/>
      <w:szCs w:val="48"/>
    </w:rPr>
  </w:style>
  <w:style w:type="character" w:styleId="af2">
    <w:name w:val="Hyperlink"/>
    <w:basedOn w:val="a0"/>
    <w:uiPriority w:val="99"/>
    <w:unhideWhenUsed/>
    <w:rsid w:val="00E14273"/>
    <w:rPr>
      <w:color w:val="0563C1" w:themeColor="hyperlink"/>
      <w:u w:val="single"/>
    </w:rPr>
  </w:style>
  <w:style w:type="paragraph" w:styleId="af3">
    <w:name w:val="List Paragraph"/>
    <w:basedOn w:val="a"/>
    <w:uiPriority w:val="34"/>
    <w:qFormat/>
    <w:rsid w:val="00E14273"/>
    <w:pPr>
      <w:ind w:leftChars="200" w:left="480"/>
    </w:pPr>
  </w:style>
  <w:style w:type="table" w:styleId="13">
    <w:name w:val="Plain Table 1"/>
    <w:basedOn w:val="a1"/>
    <w:uiPriority w:val="41"/>
    <w:rsid w:val="006F175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4">
    <w:name w:val="Balloon Text"/>
    <w:basedOn w:val="a"/>
    <w:link w:val="af5"/>
    <w:uiPriority w:val="99"/>
    <w:semiHidden/>
    <w:unhideWhenUsed/>
    <w:rsid w:val="00C9455D"/>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C945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7858">
      <w:bodyDiv w:val="1"/>
      <w:marLeft w:val="0"/>
      <w:marRight w:val="0"/>
      <w:marTop w:val="0"/>
      <w:marBottom w:val="0"/>
      <w:divBdr>
        <w:top w:val="none" w:sz="0" w:space="0" w:color="auto"/>
        <w:left w:val="none" w:sz="0" w:space="0" w:color="auto"/>
        <w:bottom w:val="none" w:sz="0" w:space="0" w:color="auto"/>
        <w:right w:val="none" w:sz="0" w:space="0" w:color="auto"/>
      </w:divBdr>
    </w:div>
    <w:div w:id="882135003">
      <w:bodyDiv w:val="1"/>
      <w:marLeft w:val="0"/>
      <w:marRight w:val="0"/>
      <w:marTop w:val="0"/>
      <w:marBottom w:val="0"/>
      <w:divBdr>
        <w:top w:val="none" w:sz="0" w:space="0" w:color="auto"/>
        <w:left w:val="none" w:sz="0" w:space="0" w:color="auto"/>
        <w:bottom w:val="none" w:sz="0" w:space="0" w:color="auto"/>
        <w:right w:val="none" w:sz="0" w:space="0" w:color="auto"/>
      </w:divBdr>
    </w:div>
    <w:div w:id="1471364303">
      <w:bodyDiv w:val="1"/>
      <w:marLeft w:val="0"/>
      <w:marRight w:val="0"/>
      <w:marTop w:val="0"/>
      <w:marBottom w:val="0"/>
      <w:divBdr>
        <w:top w:val="none" w:sz="0" w:space="0" w:color="auto"/>
        <w:left w:val="none" w:sz="0" w:space="0" w:color="auto"/>
        <w:bottom w:val="none" w:sz="0" w:space="0" w:color="auto"/>
        <w:right w:val="none" w:sz="0" w:space="0" w:color="auto"/>
      </w:divBdr>
      <w:divsChild>
        <w:div w:id="1593590580">
          <w:marLeft w:val="0"/>
          <w:marRight w:val="0"/>
          <w:marTop w:val="0"/>
          <w:marBottom w:val="0"/>
          <w:divBdr>
            <w:top w:val="none" w:sz="0" w:space="0" w:color="auto"/>
            <w:left w:val="none" w:sz="0" w:space="0" w:color="auto"/>
            <w:bottom w:val="none" w:sz="0" w:space="0" w:color="auto"/>
            <w:right w:val="none" w:sz="0" w:space="0" w:color="auto"/>
          </w:divBdr>
        </w:div>
        <w:div w:id="1081171797">
          <w:marLeft w:val="0"/>
          <w:marRight w:val="0"/>
          <w:marTop w:val="750"/>
          <w:marBottom w:val="0"/>
          <w:divBdr>
            <w:top w:val="none" w:sz="0" w:space="0" w:color="auto"/>
            <w:left w:val="none" w:sz="0" w:space="0" w:color="auto"/>
            <w:bottom w:val="none" w:sz="0" w:space="0" w:color="auto"/>
            <w:right w:val="none" w:sz="0" w:space="0" w:color="auto"/>
          </w:divBdr>
        </w:div>
      </w:divsChild>
    </w:div>
    <w:div w:id="167884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s.harvard.edu/gazette/story/2011/09/harvard-university-endowment-earns-21-4-percent-return-for-fiscal-year/" TargetMode="External"/><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mc.harvard.edu/docs/Final_Annual_Report_2015.pdf" TargetMode="External"/><Relationship Id="rId12" Type="http://schemas.openxmlformats.org/officeDocument/2006/relationships/hyperlink" Target="http://harvardmagazine.com/2009/09/sharp-endowment-decline-reported" TargetMode="External"/><Relationship Id="rId17" Type="http://schemas.openxmlformats.org/officeDocument/2006/relationships/hyperlink" Target="http://harvardmagazine.com/2015/09/harvard-endowment-37-6-billion-and-new-policies" TargetMode="External"/><Relationship Id="rId2" Type="http://schemas.openxmlformats.org/officeDocument/2006/relationships/styles" Target="styles.xml"/><Relationship Id="rId16" Type="http://schemas.openxmlformats.org/officeDocument/2006/relationships/hyperlink" Target="http://news.harvard.edu/gazette/story/2014/09/harvard-university-endowment-delivers-15-4-return-for-fiscal-year-201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harvard.edu/gazette/story/2008/09/harvard-endowment-posts-solid-positive-return/" TargetMode="External"/><Relationship Id="rId5" Type="http://schemas.openxmlformats.org/officeDocument/2006/relationships/footnotes" Target="footnotes.xml"/><Relationship Id="rId15" Type="http://schemas.openxmlformats.org/officeDocument/2006/relationships/hyperlink" Target="http://harvardmagazine.com/2013/09/harvard-endowment-up-2-billion-to-32-7-billion" TargetMode="External"/><Relationship Id="rId10" Type="http://schemas.openxmlformats.org/officeDocument/2006/relationships/hyperlink" Target="http://news.harvard.edu/gazette/story/2007/08/harvard-endowment-posts-strong-positive-retur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ws.harvard.edu/gazette/2006/09.21/99-endowment.html" TargetMode="External"/><Relationship Id="rId14" Type="http://schemas.openxmlformats.org/officeDocument/2006/relationships/hyperlink" Target="http://harvardmagazine.com/2012/09/harvard-endowment-declines-to-30-7-billion"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sz="1800">
                <a:solidFill>
                  <a:schemeClr val="tx1"/>
                </a:solidFill>
                <a:latin typeface="王漢宗特黑體繁" panose="02000500000000000000" pitchFamily="2" charset="-120"/>
                <a:ea typeface="王漢宗特黑體繁" panose="02000500000000000000" pitchFamily="2" charset="-120"/>
              </a:rPr>
              <a:t>四大基金</a:t>
            </a:r>
            <a:r>
              <a:rPr lang="zh-TW" altLang="en-US" sz="1800" b="1">
                <a:solidFill>
                  <a:schemeClr val="tx1"/>
                </a:solidFill>
                <a:latin typeface="王漢宗特黑體繁" panose="02000500000000000000" pitchFamily="2" charset="-120"/>
                <a:ea typeface="王漢宗特黑體繁" panose="02000500000000000000" pitchFamily="2" charset="-120"/>
              </a:rPr>
              <a:t>近十年收益率比較</a:t>
            </a:r>
            <a:r>
              <a:rPr lang="en-US" altLang="zh-TW" sz="1800" b="1">
                <a:solidFill>
                  <a:schemeClr val="tx1"/>
                </a:solidFill>
                <a:latin typeface="王漢宗特黑體繁" panose="02000500000000000000" pitchFamily="2" charset="-120"/>
                <a:ea typeface="王漢宗特黑體繁" panose="02000500000000000000" pitchFamily="2" charset="-120"/>
              </a:rPr>
              <a:t>(95~104</a:t>
            </a:r>
            <a:r>
              <a:rPr lang="zh-TW" altLang="en-US" sz="1800" b="1">
                <a:solidFill>
                  <a:schemeClr val="tx1"/>
                </a:solidFill>
                <a:latin typeface="王漢宗特黑體繁" panose="02000500000000000000" pitchFamily="2" charset="-120"/>
                <a:ea typeface="王漢宗特黑體繁" panose="02000500000000000000" pitchFamily="2" charset="-120"/>
              </a:rPr>
              <a:t>年</a:t>
            </a:r>
            <a:r>
              <a:rPr lang="en-US" altLang="zh-TW" sz="1800" b="1">
                <a:solidFill>
                  <a:schemeClr val="tx1"/>
                </a:solidFill>
                <a:latin typeface="王漢宗特黑體繁" panose="02000500000000000000" pitchFamily="2" charset="-120"/>
                <a:ea typeface="王漢宗特黑體繁" panose="02000500000000000000" pitchFamily="2" charset="-120"/>
              </a:rPr>
              <a:t>)</a:t>
            </a:r>
            <a:endParaRPr lang="zh-TW" altLang="en-US" sz="1800" b="1">
              <a:solidFill>
                <a:schemeClr val="tx1"/>
              </a:solidFill>
              <a:latin typeface="王漢宗特黑體繁" panose="02000500000000000000" pitchFamily="2" charset="-120"/>
              <a:ea typeface="王漢宗特黑體繁" panose="02000500000000000000" pitchFamily="2" charset="-120"/>
            </a:endParaRPr>
          </a:p>
        </c:rich>
      </c:tx>
      <c:layout>
        <c:manualLayout>
          <c:xMode val="edge"/>
          <c:yMode val="edge"/>
          <c:x val="0.17386459613722938"/>
          <c:y val="3.178854407904894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manualLayout>
          <c:layoutTarget val="inner"/>
          <c:xMode val="edge"/>
          <c:yMode val="edge"/>
          <c:x val="5.5074365704286962E-2"/>
          <c:y val="0.14416833489034209"/>
          <c:w val="0.92983647105840161"/>
          <c:h val="0.76469376356204066"/>
        </c:manualLayout>
      </c:layout>
      <c:lineChart>
        <c:grouping val="standard"/>
        <c:varyColors val="0"/>
        <c:ser>
          <c:idx val="1"/>
          <c:order val="0"/>
          <c:tx>
            <c:strRef>
              <c:f>工作表1!$B$1</c:f>
              <c:strCache>
                <c:ptCount val="1"/>
                <c:pt idx="0">
                  <c:v>勞保</c:v>
                </c:pt>
              </c:strCache>
            </c:strRef>
          </c:tx>
          <c:spPr>
            <a:ln w="28575" cap="rnd">
              <a:solidFill>
                <a:srgbClr val="FF0000"/>
              </a:solidFill>
              <a:prstDash val="lgDash"/>
              <a:round/>
            </a:ln>
            <a:effectLst/>
          </c:spPr>
          <c:marker>
            <c:symbol val="circle"/>
            <c:size val="5"/>
            <c:spPr>
              <a:solidFill>
                <a:srgbClr val="FF0000"/>
              </a:solidFill>
              <a:ln w="9525">
                <a:solidFill>
                  <a:srgbClr val="FF0000"/>
                </a:solidFill>
                <a:prstDash val="lgDash"/>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工作表1!$A$13:$A$22</c:f>
              <c:numCache>
                <c:formatCode>General</c:formatCode>
                <c:ptCount val="10"/>
                <c:pt idx="0">
                  <c:v>95</c:v>
                </c:pt>
                <c:pt idx="1">
                  <c:v>96</c:v>
                </c:pt>
                <c:pt idx="2">
                  <c:v>97</c:v>
                </c:pt>
                <c:pt idx="3">
                  <c:v>98</c:v>
                </c:pt>
                <c:pt idx="4">
                  <c:v>99</c:v>
                </c:pt>
                <c:pt idx="5">
                  <c:v>100</c:v>
                </c:pt>
                <c:pt idx="6">
                  <c:v>101</c:v>
                </c:pt>
                <c:pt idx="7">
                  <c:v>102</c:v>
                </c:pt>
                <c:pt idx="8">
                  <c:v>103</c:v>
                </c:pt>
                <c:pt idx="9">
                  <c:v>104</c:v>
                </c:pt>
              </c:numCache>
            </c:numRef>
          </c:cat>
          <c:val>
            <c:numRef>
              <c:f>工作表1!$B$2:$B$22</c:f>
              <c:numCache>
                <c:formatCode>0.00_ </c:formatCode>
                <c:ptCount val="10"/>
                <c:pt idx="0">
                  <c:v>7.91</c:v>
                </c:pt>
                <c:pt idx="1">
                  <c:v>5.78</c:v>
                </c:pt>
                <c:pt idx="2">
                  <c:v>-16.53</c:v>
                </c:pt>
                <c:pt idx="3">
                  <c:v>18.21</c:v>
                </c:pt>
                <c:pt idx="4">
                  <c:v>3.96</c:v>
                </c:pt>
                <c:pt idx="5">
                  <c:v>-2.97</c:v>
                </c:pt>
                <c:pt idx="6">
                  <c:v>6.25</c:v>
                </c:pt>
                <c:pt idx="7">
                  <c:v>6.35</c:v>
                </c:pt>
                <c:pt idx="8">
                  <c:v>5.61</c:v>
                </c:pt>
                <c:pt idx="9">
                  <c:v>-0.55000000000000004</c:v>
                </c:pt>
              </c:numCache>
            </c:numRef>
          </c:val>
          <c:smooth val="0"/>
        </c:ser>
        <c:ser>
          <c:idx val="2"/>
          <c:order val="1"/>
          <c:tx>
            <c:strRef>
              <c:f>工作表1!$C$1</c:f>
              <c:strCache>
                <c:ptCount val="1"/>
                <c:pt idx="0">
                  <c:v>勞退</c:v>
                </c:pt>
              </c:strCache>
            </c:strRef>
          </c:tx>
          <c:spPr>
            <a:ln w="28575" cap="rnd">
              <a:solidFill>
                <a:srgbClr val="00B050"/>
              </a:solidFill>
              <a:prstDash val="sysDot"/>
              <a:round/>
            </a:ln>
            <a:effectLst/>
          </c:spPr>
          <c:marker>
            <c:symbol val="circle"/>
            <c:size val="5"/>
            <c:spPr>
              <a:solidFill>
                <a:srgbClr val="00B050"/>
              </a:solidFill>
              <a:ln w="9525">
                <a:solidFill>
                  <a:srgbClr val="00B050"/>
                </a:solidFill>
                <a:prstDash val="sysDot"/>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工作表1!$A$13:$A$22</c:f>
              <c:numCache>
                <c:formatCode>General</c:formatCode>
                <c:ptCount val="10"/>
                <c:pt idx="0">
                  <c:v>95</c:v>
                </c:pt>
                <c:pt idx="1">
                  <c:v>96</c:v>
                </c:pt>
                <c:pt idx="2">
                  <c:v>97</c:v>
                </c:pt>
                <c:pt idx="3">
                  <c:v>98</c:v>
                </c:pt>
                <c:pt idx="4">
                  <c:v>99</c:v>
                </c:pt>
                <c:pt idx="5">
                  <c:v>100</c:v>
                </c:pt>
                <c:pt idx="6">
                  <c:v>101</c:v>
                </c:pt>
                <c:pt idx="7">
                  <c:v>102</c:v>
                </c:pt>
                <c:pt idx="8">
                  <c:v>103</c:v>
                </c:pt>
                <c:pt idx="9">
                  <c:v>104</c:v>
                </c:pt>
              </c:numCache>
            </c:numRef>
          </c:cat>
          <c:val>
            <c:numRef>
              <c:f>工作表1!$C$2:$C$22</c:f>
              <c:numCache>
                <c:formatCode>0.00_ </c:formatCode>
                <c:ptCount val="10"/>
                <c:pt idx="0">
                  <c:v>1.62</c:v>
                </c:pt>
                <c:pt idx="1">
                  <c:v>0.42</c:v>
                </c:pt>
                <c:pt idx="2">
                  <c:v>-6.05</c:v>
                </c:pt>
                <c:pt idx="3">
                  <c:v>11.83</c:v>
                </c:pt>
                <c:pt idx="4">
                  <c:v>1.54</c:v>
                </c:pt>
                <c:pt idx="5">
                  <c:v>-3.94</c:v>
                </c:pt>
                <c:pt idx="6">
                  <c:v>5.01</c:v>
                </c:pt>
                <c:pt idx="7">
                  <c:v>5.67</c:v>
                </c:pt>
                <c:pt idx="8">
                  <c:v>6.38</c:v>
                </c:pt>
                <c:pt idx="9">
                  <c:v>-0.09</c:v>
                </c:pt>
              </c:numCache>
            </c:numRef>
          </c:val>
          <c:smooth val="0"/>
        </c:ser>
        <c:ser>
          <c:idx val="3"/>
          <c:order val="2"/>
          <c:tx>
            <c:strRef>
              <c:f>工作表1!$D$1</c:f>
              <c:strCache>
                <c:ptCount val="1"/>
                <c:pt idx="0">
                  <c:v>公保</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工作表1!$A$13:$A$22</c:f>
              <c:numCache>
                <c:formatCode>General</c:formatCode>
                <c:ptCount val="10"/>
                <c:pt idx="0">
                  <c:v>95</c:v>
                </c:pt>
                <c:pt idx="1">
                  <c:v>96</c:v>
                </c:pt>
                <c:pt idx="2">
                  <c:v>97</c:v>
                </c:pt>
                <c:pt idx="3">
                  <c:v>98</c:v>
                </c:pt>
                <c:pt idx="4">
                  <c:v>99</c:v>
                </c:pt>
                <c:pt idx="5">
                  <c:v>100</c:v>
                </c:pt>
                <c:pt idx="6">
                  <c:v>101</c:v>
                </c:pt>
                <c:pt idx="7">
                  <c:v>102</c:v>
                </c:pt>
                <c:pt idx="8">
                  <c:v>103</c:v>
                </c:pt>
                <c:pt idx="9">
                  <c:v>104</c:v>
                </c:pt>
              </c:numCache>
            </c:numRef>
          </c:cat>
          <c:val>
            <c:numRef>
              <c:f>工作表1!$D$2:$D$22</c:f>
              <c:numCache>
                <c:formatCode>0.00_ </c:formatCode>
                <c:ptCount val="10"/>
                <c:pt idx="0">
                  <c:v>5.67</c:v>
                </c:pt>
                <c:pt idx="1">
                  <c:v>6.84</c:v>
                </c:pt>
                <c:pt idx="2">
                  <c:v>-12.44</c:v>
                </c:pt>
                <c:pt idx="3">
                  <c:v>15.23</c:v>
                </c:pt>
                <c:pt idx="4">
                  <c:v>2.61</c:v>
                </c:pt>
                <c:pt idx="5">
                  <c:v>-2.87</c:v>
                </c:pt>
                <c:pt idx="6">
                  <c:v>4.72</c:v>
                </c:pt>
                <c:pt idx="7">
                  <c:v>6.02</c:v>
                </c:pt>
                <c:pt idx="8">
                  <c:v>6.72</c:v>
                </c:pt>
                <c:pt idx="9">
                  <c:v>0.37</c:v>
                </c:pt>
              </c:numCache>
            </c:numRef>
          </c:val>
          <c:smooth val="0"/>
        </c:ser>
        <c:ser>
          <c:idx val="4"/>
          <c:order val="3"/>
          <c:tx>
            <c:strRef>
              <c:f>工作表1!$E$1</c:f>
              <c:strCache>
                <c:ptCount val="1"/>
                <c:pt idx="0">
                  <c:v>退撫</c:v>
                </c:pt>
              </c:strCache>
            </c:strRef>
          </c:tx>
          <c:spPr>
            <a:ln w="952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工作表1!$A$13:$A$22</c:f>
              <c:numCache>
                <c:formatCode>General</c:formatCode>
                <c:ptCount val="10"/>
                <c:pt idx="0">
                  <c:v>95</c:v>
                </c:pt>
                <c:pt idx="1">
                  <c:v>96</c:v>
                </c:pt>
                <c:pt idx="2">
                  <c:v>97</c:v>
                </c:pt>
                <c:pt idx="3">
                  <c:v>98</c:v>
                </c:pt>
                <c:pt idx="4">
                  <c:v>99</c:v>
                </c:pt>
                <c:pt idx="5">
                  <c:v>100</c:v>
                </c:pt>
                <c:pt idx="6">
                  <c:v>101</c:v>
                </c:pt>
                <c:pt idx="7">
                  <c:v>102</c:v>
                </c:pt>
                <c:pt idx="8">
                  <c:v>103</c:v>
                </c:pt>
                <c:pt idx="9">
                  <c:v>104</c:v>
                </c:pt>
              </c:numCache>
            </c:numRef>
          </c:cat>
          <c:val>
            <c:numRef>
              <c:f>工作表1!$E$2:$E$22</c:f>
              <c:numCache>
                <c:formatCode>0.00_ </c:formatCode>
                <c:ptCount val="10"/>
                <c:pt idx="0">
                  <c:v>10.93</c:v>
                </c:pt>
                <c:pt idx="1">
                  <c:v>4.91</c:v>
                </c:pt>
                <c:pt idx="2">
                  <c:v>-22.33</c:v>
                </c:pt>
                <c:pt idx="3">
                  <c:v>19.489999999999998</c:v>
                </c:pt>
                <c:pt idx="4">
                  <c:v>3.6</c:v>
                </c:pt>
                <c:pt idx="5">
                  <c:v>-5.98</c:v>
                </c:pt>
                <c:pt idx="6">
                  <c:v>6.17</c:v>
                </c:pt>
                <c:pt idx="7">
                  <c:v>8.3000000000000007</c:v>
                </c:pt>
                <c:pt idx="8">
                  <c:v>6.5</c:v>
                </c:pt>
                <c:pt idx="9">
                  <c:v>-1.94</c:v>
                </c:pt>
              </c:numCache>
            </c:numRef>
          </c:val>
          <c:smooth val="0"/>
        </c:ser>
        <c:dLbls>
          <c:showLegendKey val="0"/>
          <c:showVal val="0"/>
          <c:showCatName val="0"/>
          <c:showSerName val="0"/>
          <c:showPercent val="0"/>
          <c:showBubbleSize val="0"/>
        </c:dLbls>
        <c:marker val="1"/>
        <c:smooth val="0"/>
        <c:axId val="540723184"/>
        <c:axId val="540724304"/>
      </c:lineChart>
      <c:catAx>
        <c:axId val="54072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TW"/>
          </a:p>
        </c:txPr>
        <c:crossAx val="540724304"/>
        <c:crosses val="autoZero"/>
        <c:auto val="1"/>
        <c:lblAlgn val="ctr"/>
        <c:lblOffset val="100"/>
        <c:noMultiLvlLbl val="0"/>
      </c:catAx>
      <c:valAx>
        <c:axId val="540724304"/>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40723184"/>
        <c:crosses val="autoZero"/>
        <c:crossBetween val="between"/>
      </c:valAx>
      <c:spPr>
        <a:noFill/>
        <a:ln>
          <a:noFill/>
        </a:ln>
        <a:effectLst/>
      </c:spPr>
    </c:plotArea>
    <c:legend>
      <c:legendPos val="b"/>
      <c:layout>
        <c:manualLayout>
          <c:xMode val="edge"/>
          <c:yMode val="edge"/>
          <c:x val="0.46436523100763871"/>
          <c:y val="0.84456307368358619"/>
          <c:w val="0.49889049803859525"/>
          <c:h val="5.3571803524559432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2448</Words>
  <Characters>13959</Characters>
  <Application>Microsoft Office Word</Application>
  <DocSecurity>0</DocSecurity>
  <Lines>116</Lines>
  <Paragraphs>32</Paragraphs>
  <ScaleCrop>false</ScaleCrop>
  <Company>MSHOME</Company>
  <LinksUpToDate>false</LinksUpToDate>
  <CharactersWithSpaces>16375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dc:creator>
  <cp:keywords/>
  <dc:description/>
  <cp:lastModifiedBy>Jocelyn</cp:lastModifiedBy>
  <cp:revision>7</cp:revision>
  <cp:lastPrinted>2016-07-20T09:49:00Z</cp:lastPrinted>
  <dcterms:created xsi:type="dcterms:W3CDTF">2016-07-20T09:50:00Z</dcterms:created>
  <dcterms:modified xsi:type="dcterms:W3CDTF">2016-07-20T09:57:00Z</dcterms:modified>
</cp:coreProperties>
</file>